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F986" w14:textId="77777777" w:rsidR="00211D8D" w:rsidRPr="00211D8D" w:rsidRDefault="008121B6" w:rsidP="00211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11D8D">
        <w:rPr>
          <w:noProof/>
        </w:rPr>
        <w:drawing>
          <wp:anchor distT="0" distB="0" distL="114300" distR="114300" simplePos="0" relativeHeight="251660288" behindDoc="0" locked="0" layoutInCell="1" allowOverlap="1" wp14:anchorId="499CAE1A" wp14:editId="2BA31F73">
            <wp:simplePos x="0" y="0"/>
            <wp:positionH relativeFrom="column">
              <wp:posOffset>5404275</wp:posOffset>
            </wp:positionH>
            <wp:positionV relativeFrom="paragraph">
              <wp:posOffset>-412750</wp:posOffset>
            </wp:positionV>
            <wp:extent cx="641350" cy="648765"/>
            <wp:effectExtent l="0" t="0" r="6350" b="0"/>
            <wp:wrapNone/>
            <wp:docPr id="1593419795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46594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D8D">
        <w:rPr>
          <w:noProof/>
        </w:rPr>
        <w:drawing>
          <wp:anchor distT="0" distB="0" distL="114300" distR="114300" simplePos="0" relativeHeight="251658240" behindDoc="0" locked="0" layoutInCell="1" allowOverlap="1" wp14:anchorId="4EA8AB5E" wp14:editId="5965A621">
            <wp:simplePos x="0" y="0"/>
            <wp:positionH relativeFrom="column">
              <wp:posOffset>-321945</wp:posOffset>
            </wp:positionH>
            <wp:positionV relativeFrom="paragraph">
              <wp:posOffset>-450215</wp:posOffset>
            </wp:positionV>
            <wp:extent cx="641350" cy="648765"/>
            <wp:effectExtent l="0" t="0" r="6350" b="0"/>
            <wp:wrapNone/>
            <wp:docPr id="2144746594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46594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D8D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T.C.</w:t>
      </w:r>
    </w:p>
    <w:p w14:paraId="74917A04" w14:textId="47802732" w:rsidR="00211D8D" w:rsidRPr="00211D8D" w:rsidRDefault="00211D8D" w:rsidP="00211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TRABZON ÜNİVERSİTESİ</w:t>
      </w:r>
      <w:r w:rsidR="008121B6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34ED13A5" w14:textId="2065C927" w:rsidR="00D02CCE" w:rsidRPr="00211D8D" w:rsidRDefault="00211D8D" w:rsidP="00211D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Tonya Meslek Yüksekokulu</w:t>
      </w:r>
      <w:r w:rsidR="00563E43" w:rsidRPr="00211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r w:rsidR="00A61C9B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2025 Yılı İlk 6 Aylık Ar-Ge Performans</w:t>
      </w:r>
      <w:r w:rsidR="00831BA9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ının Stratejik Plan Hedefleri</w:t>
      </w:r>
      <w:r w:rsidR="0054085A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ne Göre Analizi</w:t>
      </w:r>
      <w:r w:rsidR="00831BA9" w:rsidRPr="00211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</w:p>
    <w:p w14:paraId="58DF48ED" w14:textId="77777777" w:rsidR="00211D8D" w:rsidRDefault="00211D8D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D6C84F3" w14:textId="69FAE2E5" w:rsidR="008F1710" w:rsidRDefault="008F1710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Komisyon:</w:t>
      </w:r>
      <w:r w:rsidRPr="008F171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Araştırma ve Geliştirme Komisyonu</w:t>
      </w:r>
    </w:p>
    <w:p w14:paraId="7DA0D812" w14:textId="3FDE4F42" w:rsidR="008F1710" w:rsidRDefault="008F1710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F171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Tarihi: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Ekim/2025</w:t>
      </w:r>
    </w:p>
    <w:p w14:paraId="244E46B2" w14:textId="77777777" w:rsidR="00211D8D" w:rsidRPr="008F1710" w:rsidRDefault="00211D8D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D6C41D2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GİRİŞ</w:t>
      </w:r>
    </w:p>
    <w:p w14:paraId="5D25D427" w14:textId="7A8C458A" w:rsidR="00563E43" w:rsidRPr="00746830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Meslek Yüksekokulu Ar-Ge Komisyonu tarafından 2025 yılının ilk altı aylık dönemine ait akademik performans verileri değerlendirilmiştir. Bu rapor, 2025 Tonya M</w:t>
      </w:r>
      <w:r w:rsidR="009B656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eslek Yüksekokulu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Stratejik Planı ile uyumlu olarak hazırlanmış olup, bilimsel araştırma, yenilik, proje geliştirme ve kurumsal kapasite artırımı faaliyetlerini kapsamaktadır.</w:t>
      </w:r>
    </w:p>
    <w:p w14:paraId="75C2C224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STRATEJİK AMAÇ VE HEDEFLERLE UYUMLULUK</w:t>
      </w:r>
    </w:p>
    <w:p w14:paraId="4B9EE640" w14:textId="77777777" w:rsidR="00563E43" w:rsidRPr="00746830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Stratejik Amaç A2: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Bilimsel araştırma ve geliştirme faaliyetlerinin güçlendirilmesi.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Bu kapsamda 2025 yılının ilk yarısında aşağıdaki performans göstergelerinde anlamlı ilerlemeler kaydedilmiştir: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2472"/>
        <w:gridCol w:w="2200"/>
      </w:tblGrid>
      <w:tr w:rsidR="00563E43" w:rsidRPr="00746830" w14:paraId="7E4CCDCB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29F3F2C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Performans Göstergesi</w:t>
            </w:r>
          </w:p>
        </w:tc>
        <w:tc>
          <w:tcPr>
            <w:tcW w:w="2442" w:type="dxa"/>
            <w:vAlign w:val="center"/>
            <w:hideMark/>
          </w:tcPr>
          <w:p w14:paraId="0EB67C3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Gerçekleşme (Ocak-Haziran 2025)</w:t>
            </w:r>
          </w:p>
        </w:tc>
        <w:tc>
          <w:tcPr>
            <w:tcW w:w="0" w:type="auto"/>
            <w:vAlign w:val="center"/>
            <w:hideMark/>
          </w:tcPr>
          <w:p w14:paraId="09C8FADE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Stratejik Plan Referansı</w:t>
            </w:r>
          </w:p>
        </w:tc>
      </w:tr>
      <w:tr w:rsidR="00563E43" w:rsidRPr="00746830" w14:paraId="2967D5CC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637FD8F5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SCI/SCIE/SSCI/AHCI indeksli yayın sayısı</w:t>
            </w:r>
          </w:p>
        </w:tc>
        <w:tc>
          <w:tcPr>
            <w:tcW w:w="2442" w:type="dxa"/>
            <w:vAlign w:val="center"/>
            <w:hideMark/>
          </w:tcPr>
          <w:p w14:paraId="3AB324B8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05946809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PG2.1.1</w:t>
            </w:r>
          </w:p>
        </w:tc>
      </w:tr>
      <w:tr w:rsidR="00563E43" w:rsidRPr="00746830" w14:paraId="70DD9EF2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0F81B340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Ulusal (TR Dizin) makale sayısı</w:t>
            </w:r>
          </w:p>
        </w:tc>
        <w:tc>
          <w:tcPr>
            <w:tcW w:w="2442" w:type="dxa"/>
            <w:vAlign w:val="center"/>
            <w:hideMark/>
          </w:tcPr>
          <w:p w14:paraId="7DC6644E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02FE2B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PG2.1.2</w:t>
            </w:r>
          </w:p>
        </w:tc>
      </w:tr>
      <w:tr w:rsidR="00563E43" w:rsidRPr="00746830" w14:paraId="6A22D7B2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01279644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Kitap ve kitap bölümü sayısı</w:t>
            </w:r>
          </w:p>
        </w:tc>
        <w:tc>
          <w:tcPr>
            <w:tcW w:w="2442" w:type="dxa"/>
            <w:vAlign w:val="center"/>
            <w:hideMark/>
          </w:tcPr>
          <w:p w14:paraId="66BC54F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2156725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PG2.1.3, PG2.1.4</w:t>
            </w:r>
          </w:p>
        </w:tc>
      </w:tr>
      <w:tr w:rsidR="00563E43" w:rsidRPr="00746830" w14:paraId="45C09B02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55B9BF06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Ulusal ve uluslararası bildiri sayısı</w:t>
            </w:r>
          </w:p>
        </w:tc>
        <w:tc>
          <w:tcPr>
            <w:tcW w:w="2442" w:type="dxa"/>
            <w:vAlign w:val="center"/>
            <w:hideMark/>
          </w:tcPr>
          <w:p w14:paraId="51E23094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D6E9114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PG2.4.1</w:t>
            </w:r>
          </w:p>
        </w:tc>
      </w:tr>
      <w:tr w:rsidR="00563E43" w:rsidRPr="00746830" w14:paraId="213A0019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0907878D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Toplam atıf sayısı</w:t>
            </w:r>
          </w:p>
        </w:tc>
        <w:tc>
          <w:tcPr>
            <w:tcW w:w="2442" w:type="dxa"/>
            <w:vAlign w:val="center"/>
            <w:hideMark/>
          </w:tcPr>
          <w:p w14:paraId="00E7EE50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14:paraId="5CAE2E7B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PG2.1.5</w:t>
            </w:r>
          </w:p>
        </w:tc>
      </w:tr>
      <w:tr w:rsidR="00563E43" w:rsidRPr="00746830" w14:paraId="3DA29DDE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49229519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Yürütülen proje sayısı</w:t>
            </w:r>
          </w:p>
        </w:tc>
        <w:tc>
          <w:tcPr>
            <w:tcW w:w="2442" w:type="dxa"/>
            <w:vAlign w:val="center"/>
            <w:hideMark/>
          </w:tcPr>
          <w:p w14:paraId="4EBECE00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8F1C1C0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PG2.2.1, PG2.2.2</w:t>
            </w:r>
          </w:p>
        </w:tc>
      </w:tr>
      <w:tr w:rsidR="00563E43" w:rsidRPr="00746830" w14:paraId="54D819B0" w14:textId="77777777" w:rsidTr="00C10BC3">
        <w:trPr>
          <w:tblCellSpacing w:w="15" w:type="dxa"/>
          <w:jc w:val="center"/>
        </w:trPr>
        <w:tc>
          <w:tcPr>
            <w:tcW w:w="4345" w:type="dxa"/>
            <w:vAlign w:val="center"/>
            <w:hideMark/>
          </w:tcPr>
          <w:p w14:paraId="228F338E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Patent başvurusu sayısı</w:t>
            </w:r>
          </w:p>
        </w:tc>
        <w:tc>
          <w:tcPr>
            <w:tcW w:w="2442" w:type="dxa"/>
            <w:vAlign w:val="center"/>
            <w:hideMark/>
          </w:tcPr>
          <w:p w14:paraId="6AB98342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ED6F6A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PG2.2.3</w:t>
            </w:r>
          </w:p>
        </w:tc>
      </w:tr>
    </w:tbl>
    <w:p w14:paraId="015E4929" w14:textId="77777777" w:rsidR="00563E43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veriler, Yüksekokulun bilimsel üretkenlik, proje yönetimi ve yenilik odaklılıkta süreklilik sağladığını ortaya koymaktadır.</w:t>
      </w:r>
    </w:p>
    <w:p w14:paraId="63E14C52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STRATEJİK AMAÇLARA GÖRE PERFORMANS UYUM ANALİZİ</w:t>
      </w:r>
    </w:p>
    <w:tbl>
      <w:tblPr>
        <w:tblW w:w="925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876"/>
        <w:gridCol w:w="3713"/>
      </w:tblGrid>
      <w:tr w:rsidR="00563E43" w:rsidRPr="00746830" w14:paraId="51BE6A2A" w14:textId="77777777" w:rsidTr="00211D8D">
        <w:trPr>
          <w:trHeight w:val="215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5539C9C8" w14:textId="77777777" w:rsidR="00563E43" w:rsidRPr="00C55F38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Stratejik Amaç / Hedef</w:t>
            </w:r>
          </w:p>
        </w:tc>
        <w:tc>
          <w:tcPr>
            <w:tcW w:w="1708" w:type="dxa"/>
            <w:vAlign w:val="center"/>
            <w:hideMark/>
          </w:tcPr>
          <w:p w14:paraId="24FED3AD" w14:textId="77777777" w:rsidR="00563E43" w:rsidRPr="00C55F38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İlk 6 Ay Gerçekleşmeleriyle Uyum</w:t>
            </w:r>
          </w:p>
        </w:tc>
        <w:tc>
          <w:tcPr>
            <w:tcW w:w="3744" w:type="dxa"/>
            <w:vAlign w:val="center"/>
            <w:hideMark/>
          </w:tcPr>
          <w:p w14:paraId="5F0B5B67" w14:textId="77777777" w:rsidR="00563E43" w:rsidRPr="00C55F38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Değerlendirme ve Kanıt</w:t>
            </w:r>
          </w:p>
        </w:tc>
      </w:tr>
      <w:tr w:rsidR="00563E43" w:rsidRPr="00746830" w14:paraId="7BA5FBC4" w14:textId="77777777" w:rsidTr="00211D8D">
        <w:trPr>
          <w:trHeight w:val="448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10FBAEBE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A1 – Eğitim-öğretim faaliyetlerinin ulusal/uluslararası standartlara taşınması</w:t>
            </w:r>
          </w:p>
        </w:tc>
        <w:tc>
          <w:tcPr>
            <w:tcW w:w="1708" w:type="dxa"/>
            <w:vAlign w:val="center"/>
            <w:hideMark/>
          </w:tcPr>
          <w:p w14:paraId="226B6E91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Dolaylı uyum</w:t>
            </w:r>
          </w:p>
        </w:tc>
        <w:tc>
          <w:tcPr>
            <w:tcW w:w="3744" w:type="dxa"/>
            <w:vAlign w:val="center"/>
            <w:hideMark/>
          </w:tcPr>
          <w:p w14:paraId="0E7D655B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Akademik yayınların niteliği, eğitimde bilimsel içeriklerin güçlenmesine katkı sunuyor.</w:t>
            </w:r>
          </w:p>
        </w:tc>
      </w:tr>
      <w:tr w:rsidR="00563E43" w:rsidRPr="00746830" w14:paraId="4B2AE981" w14:textId="77777777" w:rsidTr="00211D8D">
        <w:trPr>
          <w:trHeight w:val="596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29B898BF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A2 – Bilimsel araştırma ve Ar-Ge kapasitesinin güçlendirilmesi</w:t>
            </w:r>
          </w:p>
        </w:tc>
        <w:tc>
          <w:tcPr>
            <w:tcW w:w="1708" w:type="dxa"/>
            <w:vAlign w:val="center"/>
            <w:hideMark/>
          </w:tcPr>
          <w:p w14:paraId="29C8ABAF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Yüksek uyum</w:t>
            </w:r>
          </w:p>
        </w:tc>
        <w:tc>
          <w:tcPr>
            <w:tcW w:w="3744" w:type="dxa"/>
            <w:vAlign w:val="center"/>
            <w:hideMark/>
          </w:tcPr>
          <w:p w14:paraId="126F1951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29 uluslararası yayın + 193 atıf → PG2.1.1 ve PG2.1.5 göstergeleri doğrudan karşılanıyor.</w:t>
            </w:r>
          </w:p>
        </w:tc>
      </w:tr>
      <w:tr w:rsidR="00563E43" w:rsidRPr="00746830" w14:paraId="078DEB7C" w14:textId="77777777" w:rsidTr="00211D8D">
        <w:trPr>
          <w:trHeight w:val="898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484CD2BA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A3 – Paydaşlarla iletişim ve etkileşimin geliştirilmesi</w:t>
            </w:r>
          </w:p>
        </w:tc>
        <w:tc>
          <w:tcPr>
            <w:tcW w:w="1708" w:type="dxa"/>
            <w:vAlign w:val="center"/>
            <w:hideMark/>
          </w:tcPr>
          <w:p w14:paraId="463D13BE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Orta uyum</w:t>
            </w:r>
          </w:p>
        </w:tc>
        <w:tc>
          <w:tcPr>
            <w:tcW w:w="3744" w:type="dxa"/>
            <w:vAlign w:val="center"/>
            <w:hideMark/>
          </w:tcPr>
          <w:p w14:paraId="302B48A0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17 uluslararası bildiri ve 5 proje → akademik ağ ve dış paydaş etkileşimini güçlendiriyor.</w:t>
            </w:r>
          </w:p>
        </w:tc>
      </w:tr>
      <w:tr w:rsidR="00563E43" w:rsidRPr="00746830" w14:paraId="5BC64F2B" w14:textId="77777777" w:rsidTr="00211D8D">
        <w:trPr>
          <w:trHeight w:val="723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6A8FA0DA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A4 – Kurumsal kültür ve altyapının güçlendirilmesi</w:t>
            </w:r>
          </w:p>
        </w:tc>
        <w:tc>
          <w:tcPr>
            <w:tcW w:w="1708" w:type="dxa"/>
            <w:vAlign w:val="center"/>
            <w:hideMark/>
          </w:tcPr>
          <w:p w14:paraId="231ABCDD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Dolaylı uyum</w:t>
            </w:r>
          </w:p>
        </w:tc>
        <w:tc>
          <w:tcPr>
            <w:tcW w:w="3744" w:type="dxa"/>
            <w:vAlign w:val="center"/>
            <w:hideMark/>
          </w:tcPr>
          <w:p w14:paraId="53CC32D1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Patent başvurusu ve proje sayısı → yenilikçi kurumsal kültürü destekliyor.</w:t>
            </w:r>
          </w:p>
        </w:tc>
      </w:tr>
      <w:tr w:rsidR="00563E43" w:rsidRPr="00746830" w14:paraId="0CF8273F" w14:textId="77777777" w:rsidTr="00211D8D">
        <w:trPr>
          <w:trHeight w:val="742"/>
          <w:tblCellSpacing w:w="15" w:type="dxa"/>
          <w:jc w:val="center"/>
        </w:trPr>
        <w:tc>
          <w:tcPr>
            <w:tcW w:w="3685" w:type="dxa"/>
            <w:vAlign w:val="center"/>
            <w:hideMark/>
          </w:tcPr>
          <w:p w14:paraId="61D81D41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A5 – Hayat boyu öğrenme ve sürdürülebilirlik</w:t>
            </w:r>
          </w:p>
        </w:tc>
        <w:tc>
          <w:tcPr>
            <w:tcW w:w="1708" w:type="dxa"/>
            <w:vAlign w:val="center"/>
            <w:hideMark/>
          </w:tcPr>
          <w:p w14:paraId="3AE73163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Dolaylı uyum</w:t>
            </w:r>
          </w:p>
        </w:tc>
        <w:tc>
          <w:tcPr>
            <w:tcW w:w="3744" w:type="dxa"/>
            <w:vAlign w:val="center"/>
            <w:hideMark/>
          </w:tcPr>
          <w:p w14:paraId="525E7696" w14:textId="77777777" w:rsidR="00563E43" w:rsidRPr="00C55F38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C55F3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Bilimsel etkinlik ve yayın çeşitliliği → sürekli öğrenme ve bilimsel gelişim kültürünü destekliyor.</w:t>
            </w:r>
          </w:p>
        </w:tc>
      </w:tr>
    </w:tbl>
    <w:p w14:paraId="27064BB1" w14:textId="0D228DED" w:rsidR="00563E43" w:rsidRPr="00746830" w:rsidRDefault="00563E43" w:rsidP="00211D8D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7929ACB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 BULGULARIN DEĞERLENDİRİLMESİ</w:t>
      </w:r>
    </w:p>
    <w:p w14:paraId="0E494141" w14:textId="77777777" w:rsidR="00563E43" w:rsidRPr="00746830" w:rsidRDefault="00563E43" w:rsidP="00211D8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4.1. Güçlü Yönler</w:t>
      </w:r>
    </w:p>
    <w:p w14:paraId="2B59167C" w14:textId="77777777" w:rsidR="00563E43" w:rsidRPr="00746830" w:rsidRDefault="00563E43" w:rsidP="00211D8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Uluslararası endeksli yayın ve atıf sayılarının artması.</w:t>
      </w:r>
    </w:p>
    <w:p w14:paraId="13C04B8C" w14:textId="77777777" w:rsidR="00563E43" w:rsidRPr="00746830" w:rsidRDefault="00563E43" w:rsidP="00211D8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Akademik personelin proje ve bildiri etkinliklerine aktif katılımı.</w:t>
      </w:r>
    </w:p>
    <w:p w14:paraId="531EEBB0" w14:textId="77777777" w:rsidR="00563E43" w:rsidRPr="00746830" w:rsidRDefault="00563E43" w:rsidP="00211D8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Patent başvurusu ile yenilikçi yaklaşımın kurumsallaşması.</w:t>
      </w:r>
    </w:p>
    <w:p w14:paraId="644490C2" w14:textId="77777777" w:rsidR="00563E43" w:rsidRPr="00746830" w:rsidRDefault="00563E43" w:rsidP="00211D8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4.2. Zayıf Yönler ve Riskler</w:t>
      </w:r>
    </w:p>
    <w:p w14:paraId="357249CE" w14:textId="77777777" w:rsidR="00563E43" w:rsidRPr="00746830" w:rsidRDefault="00563E43" w:rsidP="00211D8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Araştırma destek fonlarının sürekliliği ve bütçe sınırlamaları.</w:t>
      </w:r>
    </w:p>
    <w:p w14:paraId="7C8629D1" w14:textId="77777777" w:rsidR="00563E43" w:rsidRPr="00746830" w:rsidRDefault="00563E43" w:rsidP="00211D8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Öğretim elemanı başına düşen öğrenci sayısının yüksekliği.</w:t>
      </w:r>
    </w:p>
    <w:p w14:paraId="41FF29CB" w14:textId="77777777" w:rsidR="00563E43" w:rsidRPr="00746830" w:rsidRDefault="00563E43" w:rsidP="00211D8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Öğrencilerin araştırma projelerine sınırlı katılımı.</w:t>
      </w:r>
    </w:p>
    <w:p w14:paraId="74F315C1" w14:textId="77777777" w:rsidR="00563E43" w:rsidRPr="00746830" w:rsidRDefault="00563E43" w:rsidP="00211D8D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4.3. Fırsatlar</w:t>
      </w:r>
    </w:p>
    <w:p w14:paraId="2C96721E" w14:textId="77777777" w:rsidR="00563E43" w:rsidRPr="00746830" w:rsidRDefault="00563E43" w:rsidP="00211D8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Tonya MYO’nun Trabzon Üniversitesi içinde sağlık alanında öncelikli konumda olması.</w:t>
      </w:r>
    </w:p>
    <w:p w14:paraId="22A4BD0C" w14:textId="77777777" w:rsidR="00563E43" w:rsidRPr="00746830" w:rsidRDefault="00563E43" w:rsidP="00211D8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Ulusal ve uluslararası proje fonları (TÜBİTAK, DOKA, AB vb.) ile yeni ortaklıkların geliştirilme potansiyeli.</w:t>
      </w:r>
    </w:p>
    <w:p w14:paraId="6C128C93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 PUKÖ DÖNGÜSÜ (2025 İlk 6 Ay)</w:t>
      </w:r>
    </w:p>
    <w:tbl>
      <w:tblPr>
        <w:tblW w:w="908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6169"/>
        <w:gridCol w:w="1438"/>
      </w:tblGrid>
      <w:tr w:rsidR="00563E43" w:rsidRPr="00746830" w14:paraId="2A2B90F7" w14:textId="77777777" w:rsidTr="00211D8D">
        <w:trPr>
          <w:trHeight w:val="424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1EA7E1E2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Aşama</w:t>
            </w:r>
          </w:p>
        </w:tc>
        <w:tc>
          <w:tcPr>
            <w:tcW w:w="6139" w:type="dxa"/>
            <w:vAlign w:val="center"/>
            <w:hideMark/>
          </w:tcPr>
          <w:p w14:paraId="299165F5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Faaliyet</w:t>
            </w:r>
          </w:p>
        </w:tc>
        <w:tc>
          <w:tcPr>
            <w:tcW w:w="1393" w:type="dxa"/>
            <w:vAlign w:val="center"/>
            <w:hideMark/>
          </w:tcPr>
          <w:p w14:paraId="4A012D16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tr-TR"/>
                <w14:ligatures w14:val="none"/>
              </w:rPr>
              <w:t>Durum</w:t>
            </w:r>
          </w:p>
        </w:tc>
      </w:tr>
      <w:tr w:rsidR="00563E43" w:rsidRPr="00746830" w14:paraId="0F0A24E5" w14:textId="77777777" w:rsidTr="00211D8D">
        <w:trPr>
          <w:trHeight w:val="863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646523C1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Planla (P)</w:t>
            </w:r>
          </w:p>
        </w:tc>
        <w:tc>
          <w:tcPr>
            <w:tcW w:w="6139" w:type="dxa"/>
            <w:vAlign w:val="center"/>
            <w:hideMark/>
          </w:tcPr>
          <w:p w14:paraId="17197CA8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2025 Stratejik Plan A2 kapsamında yayın ve proje hedefleri belirlendi.</w:t>
            </w:r>
          </w:p>
        </w:tc>
        <w:tc>
          <w:tcPr>
            <w:tcW w:w="1393" w:type="dxa"/>
            <w:vAlign w:val="center"/>
            <w:hideMark/>
          </w:tcPr>
          <w:p w14:paraId="47CFEED4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Tamamlandı</w:t>
            </w:r>
          </w:p>
        </w:tc>
      </w:tr>
      <w:tr w:rsidR="00563E43" w:rsidRPr="00746830" w14:paraId="11477B76" w14:textId="77777777" w:rsidTr="00211D8D">
        <w:trPr>
          <w:trHeight w:val="852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13360B8F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lastRenderedPageBreak/>
              <w:t>Uygula (U)</w:t>
            </w:r>
          </w:p>
        </w:tc>
        <w:tc>
          <w:tcPr>
            <w:tcW w:w="6139" w:type="dxa"/>
            <w:vAlign w:val="center"/>
            <w:hideMark/>
          </w:tcPr>
          <w:p w14:paraId="1B66206D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Akademik personelin yayın, proje ve patent çalışmaları desteklendi.</w:t>
            </w:r>
          </w:p>
        </w:tc>
        <w:tc>
          <w:tcPr>
            <w:tcW w:w="1393" w:type="dxa"/>
            <w:vAlign w:val="center"/>
            <w:hideMark/>
          </w:tcPr>
          <w:p w14:paraId="37F6C745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Devam ediyor</w:t>
            </w:r>
          </w:p>
        </w:tc>
      </w:tr>
      <w:tr w:rsidR="00563E43" w:rsidRPr="00746830" w14:paraId="07C8A2C4" w14:textId="77777777" w:rsidTr="00211D8D">
        <w:trPr>
          <w:trHeight w:val="863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7E5805BA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Kontrol Et (K)</w:t>
            </w:r>
          </w:p>
        </w:tc>
        <w:tc>
          <w:tcPr>
            <w:tcW w:w="6139" w:type="dxa"/>
            <w:vAlign w:val="center"/>
            <w:hideMark/>
          </w:tcPr>
          <w:p w14:paraId="11E0A2B0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Ar-Ge Komisyonu tarafından ilk 6 aylık performans verileri analiz edildi.</w:t>
            </w:r>
          </w:p>
        </w:tc>
        <w:tc>
          <w:tcPr>
            <w:tcW w:w="1393" w:type="dxa"/>
            <w:vAlign w:val="center"/>
            <w:hideMark/>
          </w:tcPr>
          <w:p w14:paraId="71CE05F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Tamamlandı</w:t>
            </w:r>
          </w:p>
        </w:tc>
      </w:tr>
      <w:tr w:rsidR="00563E43" w:rsidRPr="00746830" w14:paraId="0504F1DC" w14:textId="77777777" w:rsidTr="00211D8D">
        <w:trPr>
          <w:trHeight w:val="863"/>
          <w:tblCellSpacing w:w="15" w:type="dxa"/>
          <w:jc w:val="center"/>
        </w:trPr>
        <w:tc>
          <w:tcPr>
            <w:tcW w:w="1431" w:type="dxa"/>
            <w:vAlign w:val="center"/>
            <w:hideMark/>
          </w:tcPr>
          <w:p w14:paraId="3718E363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Önlem Al (Ö)</w:t>
            </w:r>
          </w:p>
        </w:tc>
        <w:tc>
          <w:tcPr>
            <w:tcW w:w="6139" w:type="dxa"/>
            <w:vAlign w:val="center"/>
            <w:hideMark/>
          </w:tcPr>
          <w:p w14:paraId="50D830EB" w14:textId="77777777" w:rsidR="00563E43" w:rsidRPr="00746830" w:rsidRDefault="00563E43" w:rsidP="00211D8D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2. yarı yıl için proje destek mekanizmasının güçlendirilmesi ve öğrenci katılımının artırılması planlandı.</w:t>
            </w:r>
          </w:p>
        </w:tc>
        <w:tc>
          <w:tcPr>
            <w:tcW w:w="1393" w:type="dxa"/>
            <w:vAlign w:val="center"/>
            <w:hideMark/>
          </w:tcPr>
          <w:p w14:paraId="10D98D0D" w14:textId="77777777" w:rsidR="00563E43" w:rsidRPr="00746830" w:rsidRDefault="00563E43" w:rsidP="00211D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4683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Planlandı</w:t>
            </w:r>
          </w:p>
        </w:tc>
      </w:tr>
    </w:tbl>
    <w:p w14:paraId="27FA71B2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6. İYİLEŞTİRME VE GELİŞİM ÖNERİLERİ</w:t>
      </w:r>
    </w:p>
    <w:p w14:paraId="4DE87216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Yayın ve Proje Teşviki: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Stratejik plandaki H2.1 ve H2.2 hedefleri doğrultusunda, ulusal ve uluslararası yayınları teşvik edecek bir ödül sisteminin uygulanması.</w:t>
      </w:r>
    </w:p>
    <w:p w14:paraId="696D8736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Öğrenci Araştırma Katılımı: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TÜBİTAK 2209-A ve benzeri programlara başvuru konusunda farkındalık toplantıları düzenlenmeli.</w:t>
      </w:r>
    </w:p>
    <w:p w14:paraId="29E91EED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Disiplinlerarası Çalışma Ortamları: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Farklı programlar arasında proje temelli iş birliklerinin artırılması.</w:t>
      </w:r>
    </w:p>
    <w:p w14:paraId="6F542AAF" w14:textId="77777777" w:rsidR="00563E43" w:rsidRPr="00746830" w:rsidRDefault="00563E43" w:rsidP="00211D8D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Kaynak ve Bütçe Planlaması:</w:t>
      </w: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Ar-Ge bütçesinin sürekliliğini sağlamak için proje tabanlı kaynak yaratma stratejileri geliştirilmelidir.</w:t>
      </w:r>
    </w:p>
    <w:p w14:paraId="2A84AF3C" w14:textId="77777777" w:rsidR="00563E43" w:rsidRPr="00746830" w:rsidRDefault="00563E43" w:rsidP="00211D8D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7. SONUÇ</w:t>
      </w:r>
    </w:p>
    <w:p w14:paraId="3F435AD4" w14:textId="77777777" w:rsidR="00563E43" w:rsidRDefault="00563E43" w:rsidP="00211D8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7468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2025 yılı ilk altı ayı itibariyle Tonya Meslek Yüksekokulu, stratejik planın A2 amacını büyük ölçüde karşılamış, bilimsel üretim ve Ar-Ge performansını sürekli artan bir ivmeyle sürdürmüştür. İkinci yarıda, kurumsal süreklilik ve öğrenci katılımını önceliklendiren stratejilerin uygulanması, akademik performansın daha da güçlenmesini sağlayacaktır.</w:t>
      </w:r>
    </w:p>
    <w:p w14:paraId="3CBE10AE" w14:textId="6B22B418" w:rsidR="00EF19B0" w:rsidRPr="00EF19B0" w:rsidRDefault="00EF19B0" w:rsidP="00211D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tr-TR"/>
          <w14:ligatures w14:val="none"/>
        </w:rPr>
      </w:pPr>
      <w:r w:rsidRPr="00EF19B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tr-TR"/>
          <w14:ligatures w14:val="none"/>
        </w:rPr>
        <w:t>Trabzon Üniversitesi / Tonya MYO</w:t>
      </w:r>
    </w:p>
    <w:p w14:paraId="6ADD35AD" w14:textId="16E0C088" w:rsidR="00EF19B0" w:rsidRPr="00EF19B0" w:rsidRDefault="00EF19B0" w:rsidP="00211D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tr-TR"/>
          <w14:ligatures w14:val="none"/>
        </w:rPr>
      </w:pPr>
      <w:r w:rsidRPr="00EF19B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tr-TR"/>
          <w14:ligatures w14:val="none"/>
        </w:rPr>
        <w:t>Ekim/2025</w:t>
      </w:r>
    </w:p>
    <w:sectPr w:rsidR="00EF19B0" w:rsidRPr="00EF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A13"/>
    <w:multiLevelType w:val="multilevel"/>
    <w:tmpl w:val="9AAC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03F00"/>
    <w:multiLevelType w:val="multilevel"/>
    <w:tmpl w:val="55E6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25B16"/>
    <w:multiLevelType w:val="multilevel"/>
    <w:tmpl w:val="2E8E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577EDA"/>
    <w:multiLevelType w:val="multilevel"/>
    <w:tmpl w:val="AF9C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7140391">
    <w:abstractNumId w:val="0"/>
  </w:num>
  <w:num w:numId="2" w16cid:durableId="2098859798">
    <w:abstractNumId w:val="1"/>
  </w:num>
  <w:num w:numId="3" w16cid:durableId="1928152349">
    <w:abstractNumId w:val="2"/>
  </w:num>
  <w:num w:numId="4" w16cid:durableId="98023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43"/>
    <w:rsid w:val="000167AB"/>
    <w:rsid w:val="00045D6B"/>
    <w:rsid w:val="000A450F"/>
    <w:rsid w:val="001B3C5E"/>
    <w:rsid w:val="00211D8D"/>
    <w:rsid w:val="002716A2"/>
    <w:rsid w:val="00436746"/>
    <w:rsid w:val="0048763E"/>
    <w:rsid w:val="00487C37"/>
    <w:rsid w:val="004F47DE"/>
    <w:rsid w:val="0054085A"/>
    <w:rsid w:val="00563E43"/>
    <w:rsid w:val="005A62B8"/>
    <w:rsid w:val="00646606"/>
    <w:rsid w:val="006B2FC4"/>
    <w:rsid w:val="006C46F5"/>
    <w:rsid w:val="006E39DE"/>
    <w:rsid w:val="00746830"/>
    <w:rsid w:val="007F225F"/>
    <w:rsid w:val="008121B6"/>
    <w:rsid w:val="00812433"/>
    <w:rsid w:val="00831BA9"/>
    <w:rsid w:val="008846EE"/>
    <w:rsid w:val="008F1710"/>
    <w:rsid w:val="009843D4"/>
    <w:rsid w:val="009B6562"/>
    <w:rsid w:val="00A03D6B"/>
    <w:rsid w:val="00A61C9B"/>
    <w:rsid w:val="00A82B40"/>
    <w:rsid w:val="00AE23F5"/>
    <w:rsid w:val="00C10BC3"/>
    <w:rsid w:val="00C55F38"/>
    <w:rsid w:val="00CD3A97"/>
    <w:rsid w:val="00CE2164"/>
    <w:rsid w:val="00D02CCE"/>
    <w:rsid w:val="00EF19B0"/>
    <w:rsid w:val="00E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B870"/>
  <w15:chartTrackingRefBased/>
  <w15:docId w15:val="{8EEBC62C-4260-4501-8D9F-F9F5E687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6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63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63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63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63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63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63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63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3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63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63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63E4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63E4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63E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63E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63E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63E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6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63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6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6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63E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63E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63E4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63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63E4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63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86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01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96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7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48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52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F8BD-90E3-4358-BD01-44259AFB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Galip Usta</cp:lastModifiedBy>
  <cp:revision>31</cp:revision>
  <dcterms:created xsi:type="dcterms:W3CDTF">2025-10-28T10:36:00Z</dcterms:created>
  <dcterms:modified xsi:type="dcterms:W3CDTF">2025-10-29T05:44:00Z</dcterms:modified>
</cp:coreProperties>
</file>