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B312" w14:textId="1DDED402" w:rsidR="007E30EF" w:rsidRPr="00084CC1" w:rsidRDefault="00000000" w:rsidP="00084CC1">
      <w:pPr>
        <w:pStyle w:val="Balk1"/>
        <w:jc w:val="center"/>
        <w:rPr>
          <w:rFonts w:ascii="Times New Roman" w:hAnsi="Times New Roman" w:cs="Times New Roman"/>
          <w:color w:val="auto"/>
        </w:rPr>
      </w:pPr>
      <w:r w:rsidRPr="00084CC1">
        <w:rPr>
          <w:rFonts w:ascii="Times New Roman" w:hAnsi="Times New Roman" w:cs="Times New Roman"/>
          <w:color w:val="auto"/>
        </w:rPr>
        <w:t xml:space="preserve">KAN BASINCINI </w:t>
      </w:r>
      <w:r w:rsidR="00084CC1" w:rsidRPr="00084CC1">
        <w:rPr>
          <w:rFonts w:ascii="Times New Roman" w:hAnsi="Times New Roman" w:cs="Times New Roman"/>
          <w:color w:val="auto"/>
        </w:rPr>
        <w:t xml:space="preserve">ÖLÇME </w:t>
      </w:r>
      <w:r w:rsidRPr="00084CC1">
        <w:rPr>
          <w:rFonts w:ascii="Times New Roman" w:hAnsi="Times New Roman" w:cs="Times New Roman"/>
          <w:color w:val="auto"/>
        </w:rPr>
        <w:t>BECERİ DEĞERLENDİRME KILAVUZU</w:t>
      </w:r>
    </w:p>
    <w:p w14:paraId="35118717" w14:textId="529D35D8" w:rsidR="007E30EF" w:rsidRPr="00084CC1" w:rsidRDefault="00000000">
      <w:pPr>
        <w:rPr>
          <w:rFonts w:ascii="Times New Roman" w:hAnsi="Times New Roman" w:cs="Times New Roman"/>
          <w:sz w:val="24"/>
          <w:szCs w:val="24"/>
        </w:rPr>
      </w:pPr>
      <w:r w:rsidRPr="00084CC1">
        <w:rPr>
          <w:rFonts w:ascii="Times New Roman" w:hAnsi="Times New Roman" w:cs="Times New Roman"/>
          <w:sz w:val="24"/>
          <w:szCs w:val="24"/>
        </w:rPr>
        <w:t>Aşağıda yer alan işlem basamakları, kan basıncını değerlendirme uygulaması sırasında izlenecek adımları içermektedir.</w:t>
      </w:r>
      <w:r w:rsidRPr="00084CC1">
        <w:rPr>
          <w:rFonts w:ascii="Times New Roman" w:hAnsi="Times New Roman" w:cs="Times New Roman"/>
          <w:sz w:val="24"/>
          <w:szCs w:val="24"/>
        </w:rPr>
        <w:br/>
      </w:r>
      <w:r w:rsidRPr="00084CC1">
        <w:rPr>
          <w:rFonts w:ascii="Times New Roman" w:hAnsi="Times New Roman" w:cs="Times New Roman"/>
          <w:b/>
          <w:bCs/>
          <w:sz w:val="24"/>
          <w:szCs w:val="24"/>
        </w:rPr>
        <w:t>1. Yetersiz:</w:t>
      </w:r>
      <w:r w:rsidRPr="00084CC1">
        <w:rPr>
          <w:rFonts w:ascii="Times New Roman" w:hAnsi="Times New Roman" w:cs="Times New Roman"/>
          <w:sz w:val="24"/>
          <w:szCs w:val="24"/>
        </w:rPr>
        <w:t xml:space="preserve"> Basamağın hiç uygulanmaması ya da yanlış uygulanması.</w:t>
      </w:r>
      <w:r w:rsidRPr="00084CC1">
        <w:rPr>
          <w:rFonts w:ascii="Times New Roman" w:hAnsi="Times New Roman" w:cs="Times New Roman"/>
          <w:sz w:val="24"/>
          <w:szCs w:val="24"/>
        </w:rPr>
        <w:br/>
      </w:r>
      <w:r w:rsidRPr="00084CC1">
        <w:rPr>
          <w:rFonts w:ascii="Times New Roman" w:hAnsi="Times New Roman" w:cs="Times New Roman"/>
          <w:b/>
          <w:bCs/>
          <w:sz w:val="24"/>
          <w:szCs w:val="24"/>
        </w:rPr>
        <w:t>2. Geliştirilmeli:</w:t>
      </w:r>
      <w:r w:rsidRPr="00084CC1">
        <w:rPr>
          <w:rFonts w:ascii="Times New Roman" w:hAnsi="Times New Roman" w:cs="Times New Roman"/>
          <w:sz w:val="24"/>
          <w:szCs w:val="24"/>
        </w:rPr>
        <w:t xml:space="preserve"> Doğru fakat eksik ya da hatırlatmayla uygulanması.</w:t>
      </w:r>
      <w:r w:rsidRPr="00084CC1">
        <w:rPr>
          <w:rFonts w:ascii="Times New Roman" w:hAnsi="Times New Roman" w:cs="Times New Roman"/>
          <w:sz w:val="24"/>
          <w:szCs w:val="24"/>
        </w:rPr>
        <w:br/>
      </w:r>
      <w:r w:rsidRPr="00084CC1">
        <w:rPr>
          <w:rFonts w:ascii="Times New Roman" w:hAnsi="Times New Roman" w:cs="Times New Roman"/>
          <w:b/>
          <w:bCs/>
          <w:sz w:val="24"/>
          <w:szCs w:val="24"/>
        </w:rPr>
        <w:t>3. Yeterli:</w:t>
      </w:r>
      <w:r w:rsidRPr="00084CC1">
        <w:rPr>
          <w:rFonts w:ascii="Times New Roman" w:hAnsi="Times New Roman" w:cs="Times New Roman"/>
          <w:sz w:val="24"/>
          <w:szCs w:val="24"/>
        </w:rPr>
        <w:t xml:space="preserve"> Doğru ve sırasıyla, yardım almadan uygulanması.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3"/>
        <w:gridCol w:w="7041"/>
        <w:gridCol w:w="336"/>
        <w:gridCol w:w="336"/>
        <w:gridCol w:w="340"/>
      </w:tblGrid>
      <w:tr w:rsidR="007E30EF" w:rsidRPr="00084CC1" w14:paraId="29AF8A98" w14:textId="77777777" w:rsidTr="00084CC1">
        <w:tc>
          <w:tcPr>
            <w:tcW w:w="534" w:type="dxa"/>
          </w:tcPr>
          <w:p w14:paraId="7C78571E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Sırası</w:t>
            </w:r>
          </w:p>
        </w:tc>
        <w:tc>
          <w:tcPr>
            <w:tcW w:w="7229" w:type="dxa"/>
          </w:tcPr>
          <w:p w14:paraId="2FB30AF7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Basamakları</w:t>
            </w:r>
          </w:p>
        </w:tc>
        <w:tc>
          <w:tcPr>
            <w:tcW w:w="336" w:type="dxa"/>
          </w:tcPr>
          <w:p w14:paraId="02B88352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7B928F3E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" w:type="dxa"/>
          </w:tcPr>
          <w:p w14:paraId="408E2F0B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E30EF" w:rsidRPr="00084CC1" w14:paraId="538C8E06" w14:textId="77777777" w:rsidTr="00084CC1">
        <w:tc>
          <w:tcPr>
            <w:tcW w:w="534" w:type="dxa"/>
          </w:tcPr>
          <w:p w14:paraId="4E64BBA4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097F54EE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Hastaya kendini tanıtma</w:t>
            </w:r>
          </w:p>
        </w:tc>
        <w:tc>
          <w:tcPr>
            <w:tcW w:w="336" w:type="dxa"/>
          </w:tcPr>
          <w:p w14:paraId="74E9D379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962BED2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C3F4D7C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7E22AC07" w14:textId="77777777" w:rsidTr="00084CC1">
        <w:tc>
          <w:tcPr>
            <w:tcW w:w="534" w:type="dxa"/>
          </w:tcPr>
          <w:p w14:paraId="52315F4F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4B223F74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Hastanın kimliğini kontrol etme</w:t>
            </w:r>
          </w:p>
        </w:tc>
        <w:tc>
          <w:tcPr>
            <w:tcW w:w="336" w:type="dxa"/>
          </w:tcPr>
          <w:p w14:paraId="7BE9123D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76DAAD7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53FDD8A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440B8BC9" w14:textId="77777777" w:rsidTr="00084CC1">
        <w:tc>
          <w:tcPr>
            <w:tcW w:w="534" w:type="dxa"/>
          </w:tcPr>
          <w:p w14:paraId="132E91E4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7C9F895A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Hastaya yapılacak işlemi açıklama</w:t>
            </w:r>
          </w:p>
        </w:tc>
        <w:tc>
          <w:tcPr>
            <w:tcW w:w="336" w:type="dxa"/>
          </w:tcPr>
          <w:p w14:paraId="0F654460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AFCC1F6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DA9BEDB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6A7B35BE" w14:textId="77777777" w:rsidTr="00084CC1">
        <w:tc>
          <w:tcPr>
            <w:tcW w:w="534" w:type="dxa"/>
          </w:tcPr>
          <w:p w14:paraId="09FE68A7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00017EDA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336" w:type="dxa"/>
          </w:tcPr>
          <w:p w14:paraId="546C1CCD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299D9BC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342F343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06437585" w14:textId="77777777" w:rsidTr="00084CC1">
        <w:tc>
          <w:tcPr>
            <w:tcW w:w="534" w:type="dxa"/>
          </w:tcPr>
          <w:p w14:paraId="13C9A327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3984BC93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Malzemeleri hazırlama</w:t>
            </w:r>
          </w:p>
        </w:tc>
        <w:tc>
          <w:tcPr>
            <w:tcW w:w="336" w:type="dxa"/>
          </w:tcPr>
          <w:p w14:paraId="34433017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098B049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CAF9066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16929605" w14:textId="77777777" w:rsidTr="00084CC1">
        <w:tc>
          <w:tcPr>
            <w:tcW w:w="534" w:type="dxa"/>
          </w:tcPr>
          <w:p w14:paraId="65002856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52184DD9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Hastanın egzersiz, merdiven çıkma, yemek yeme, sigara içme gibi durumlarını sorgulama (Hareket sonrası hastanın durumu acil değil ise 15-20 dakika dinlendikten sonra ölçüme başlama)</w:t>
            </w:r>
          </w:p>
        </w:tc>
        <w:tc>
          <w:tcPr>
            <w:tcW w:w="336" w:type="dxa"/>
          </w:tcPr>
          <w:p w14:paraId="096F592C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FBCB093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4CEA4BC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041A3D2C" w14:textId="77777777" w:rsidTr="00084CC1">
        <w:tc>
          <w:tcPr>
            <w:tcW w:w="534" w:type="dxa"/>
          </w:tcPr>
          <w:p w14:paraId="1091E981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48B7A95E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Stetoskobun kulaklıklarını ve diyafram kısmını alkollü pamukla silme</w:t>
            </w:r>
          </w:p>
        </w:tc>
        <w:tc>
          <w:tcPr>
            <w:tcW w:w="336" w:type="dxa"/>
          </w:tcPr>
          <w:p w14:paraId="48E95B22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B59F4FA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517FB8F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08898B33" w14:textId="77777777" w:rsidTr="00084CC1">
        <w:tc>
          <w:tcPr>
            <w:tcW w:w="534" w:type="dxa"/>
          </w:tcPr>
          <w:p w14:paraId="7DA97881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6980DD8E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Sakin, gürültüsüz bir ortam sağlama</w:t>
            </w:r>
          </w:p>
        </w:tc>
        <w:tc>
          <w:tcPr>
            <w:tcW w:w="336" w:type="dxa"/>
          </w:tcPr>
          <w:p w14:paraId="0FC0719F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4D39CDA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5354AF6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3A1EB18A" w14:textId="77777777" w:rsidTr="00084CC1">
        <w:tc>
          <w:tcPr>
            <w:tcW w:w="534" w:type="dxa"/>
          </w:tcPr>
          <w:p w14:paraId="1FADD01D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6A159EEE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İşlem esnasında konuşmaması gerektiğini hastaya hatırlatma</w:t>
            </w:r>
          </w:p>
        </w:tc>
        <w:tc>
          <w:tcPr>
            <w:tcW w:w="336" w:type="dxa"/>
          </w:tcPr>
          <w:p w14:paraId="5A7F0BB7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6F163F7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594D792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2231B04F" w14:textId="77777777" w:rsidTr="00084CC1">
        <w:tc>
          <w:tcPr>
            <w:tcW w:w="534" w:type="dxa"/>
          </w:tcPr>
          <w:p w14:paraId="468DC922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4869FA90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Ölçüm yapılacak bölge için ölçüm yapılmasını engelleyecek faktörlerin varlığını sorgulama</w:t>
            </w:r>
          </w:p>
        </w:tc>
        <w:tc>
          <w:tcPr>
            <w:tcW w:w="336" w:type="dxa"/>
          </w:tcPr>
          <w:p w14:paraId="24BE3EA8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1766C6D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72A70AF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4422401A" w14:textId="77777777" w:rsidTr="00084CC1">
        <w:tc>
          <w:tcPr>
            <w:tcW w:w="534" w:type="dxa"/>
          </w:tcPr>
          <w:p w14:paraId="67458C28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721EC2FB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Ölçüm yapılacak bölgeyi işlem için hazırlama</w:t>
            </w:r>
          </w:p>
        </w:tc>
        <w:tc>
          <w:tcPr>
            <w:tcW w:w="336" w:type="dxa"/>
          </w:tcPr>
          <w:p w14:paraId="212AF8F8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89DF739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F21F0DE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37E5DEE4" w14:textId="77777777" w:rsidTr="00084CC1">
        <w:tc>
          <w:tcPr>
            <w:tcW w:w="534" w:type="dxa"/>
          </w:tcPr>
          <w:p w14:paraId="7101FBE9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14:paraId="742A0B02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Hastaya uygun pozisyon verme</w:t>
            </w:r>
          </w:p>
        </w:tc>
        <w:tc>
          <w:tcPr>
            <w:tcW w:w="336" w:type="dxa"/>
          </w:tcPr>
          <w:p w14:paraId="0BF54530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B6C06D8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A4F8673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5ACABAE5" w14:textId="77777777" w:rsidTr="00084CC1">
        <w:tc>
          <w:tcPr>
            <w:tcW w:w="534" w:type="dxa"/>
          </w:tcPr>
          <w:p w14:paraId="08A4A700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14:paraId="2FA75A22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Hastanın mahremiyetini sağlama</w:t>
            </w:r>
          </w:p>
        </w:tc>
        <w:tc>
          <w:tcPr>
            <w:tcW w:w="336" w:type="dxa"/>
          </w:tcPr>
          <w:p w14:paraId="4239877E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40FCF01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D853839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33C4AE85" w14:textId="77777777" w:rsidTr="00084CC1">
        <w:tc>
          <w:tcPr>
            <w:tcW w:w="534" w:type="dxa"/>
          </w:tcPr>
          <w:p w14:paraId="2E70DB61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14:paraId="3A9CD934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Ölçüm yapılacak kolu, kalp seviyesine kadar kaldırma (Gerektiğinde kolu destekleme)</w:t>
            </w:r>
          </w:p>
        </w:tc>
        <w:tc>
          <w:tcPr>
            <w:tcW w:w="336" w:type="dxa"/>
          </w:tcPr>
          <w:p w14:paraId="2E4565E0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7620EE1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7E192AC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121702E0" w14:textId="77777777" w:rsidTr="00084CC1">
        <w:tc>
          <w:tcPr>
            <w:tcW w:w="534" w:type="dxa"/>
          </w:tcPr>
          <w:p w14:paraId="1B67FC96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14:paraId="7F51B8EA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Manşonun içindeki havayı tamamen boşaltma</w:t>
            </w:r>
          </w:p>
        </w:tc>
        <w:tc>
          <w:tcPr>
            <w:tcW w:w="336" w:type="dxa"/>
          </w:tcPr>
          <w:p w14:paraId="7D2FF293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379DE20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54B3AAE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022FC866" w14:textId="77777777" w:rsidTr="00084CC1">
        <w:tc>
          <w:tcPr>
            <w:tcW w:w="534" w:type="dxa"/>
          </w:tcPr>
          <w:p w14:paraId="17D600CD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14:paraId="07E97F82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Brakial arteri palpasyon tekniği ile belirleme</w:t>
            </w:r>
          </w:p>
        </w:tc>
        <w:tc>
          <w:tcPr>
            <w:tcW w:w="336" w:type="dxa"/>
          </w:tcPr>
          <w:p w14:paraId="23CD5932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E3AB22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428F445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694A778F" w14:textId="77777777" w:rsidTr="00084CC1">
        <w:tc>
          <w:tcPr>
            <w:tcW w:w="534" w:type="dxa"/>
          </w:tcPr>
          <w:p w14:paraId="7E278F8C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14:paraId="4EBAEB4B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Brakial arterin palpe edilen bölgesinden iki ya da üç santimetre yukarıda ve bağlantı boruları ön kolun üst yüzeyinde olacak şekilde manşonu kola yerleştirme</w:t>
            </w:r>
          </w:p>
        </w:tc>
        <w:tc>
          <w:tcPr>
            <w:tcW w:w="336" w:type="dxa"/>
          </w:tcPr>
          <w:p w14:paraId="73E16958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99351A7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3B030BD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4914AE7D" w14:textId="77777777" w:rsidTr="00084CC1">
        <w:tc>
          <w:tcPr>
            <w:tcW w:w="534" w:type="dxa"/>
          </w:tcPr>
          <w:p w14:paraId="68D98BED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14:paraId="7CDA0146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Manometre göstergesinin 0 mmHg üzerinde olup olmadığını kontrol etme ve puvarı kapatma</w:t>
            </w:r>
          </w:p>
        </w:tc>
        <w:tc>
          <w:tcPr>
            <w:tcW w:w="336" w:type="dxa"/>
          </w:tcPr>
          <w:p w14:paraId="526FD623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776D25C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470DE81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79DB3F0C" w14:textId="77777777" w:rsidTr="00084CC1">
        <w:tc>
          <w:tcPr>
            <w:tcW w:w="534" w:type="dxa"/>
          </w:tcPr>
          <w:p w14:paraId="3976D105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14:paraId="1E3D7DF7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Ölçüm yapılan kolda radial arteri palpe etme ve nabzı hissetme</w:t>
            </w:r>
          </w:p>
        </w:tc>
        <w:tc>
          <w:tcPr>
            <w:tcW w:w="336" w:type="dxa"/>
          </w:tcPr>
          <w:p w14:paraId="38163BB5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7FD5377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C77C55C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03BAA7FA" w14:textId="77777777" w:rsidTr="00084CC1">
        <w:tc>
          <w:tcPr>
            <w:tcW w:w="534" w:type="dxa"/>
          </w:tcPr>
          <w:p w14:paraId="6B0EAD63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14:paraId="2D1E9CE3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Bir elin parmakları radial arterde iken diğer el ile manşonu şişirmeye başlama</w:t>
            </w:r>
          </w:p>
        </w:tc>
        <w:tc>
          <w:tcPr>
            <w:tcW w:w="336" w:type="dxa"/>
          </w:tcPr>
          <w:p w14:paraId="0A7575ED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739C72F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E9B37DB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03F1EB74" w14:textId="77777777" w:rsidTr="00084CC1">
        <w:tc>
          <w:tcPr>
            <w:tcW w:w="534" w:type="dxa"/>
          </w:tcPr>
          <w:p w14:paraId="2ACAC603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14:paraId="401B30AA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Nabzın kaybolduğu değerin 30 mmHg yukarısına kadar şişirmeye devam etme ve o noktada şişirmeyi durdurma</w:t>
            </w:r>
          </w:p>
        </w:tc>
        <w:tc>
          <w:tcPr>
            <w:tcW w:w="336" w:type="dxa"/>
          </w:tcPr>
          <w:p w14:paraId="6E26BFD9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F9ADCB8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3126678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13DD0874" w14:textId="77777777" w:rsidTr="00084CC1">
        <w:tc>
          <w:tcPr>
            <w:tcW w:w="534" w:type="dxa"/>
          </w:tcPr>
          <w:p w14:paraId="72E27D28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14:paraId="75E85453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Steteskobu brakial arter üzerine yerleştirerek, manşon basıncı saniyede 2-3 mmHg azalacak şekilde manometrenin puvarını yavaşça açma</w:t>
            </w:r>
          </w:p>
        </w:tc>
        <w:tc>
          <w:tcPr>
            <w:tcW w:w="336" w:type="dxa"/>
          </w:tcPr>
          <w:p w14:paraId="6CF7EA76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DEAA9DF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E83DDB4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049B913C" w14:textId="77777777" w:rsidTr="00084CC1">
        <w:tc>
          <w:tcPr>
            <w:tcW w:w="534" w:type="dxa"/>
          </w:tcPr>
          <w:p w14:paraId="2199F740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14:paraId="2AAF1311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Manşon basıncı azalırken Korotkoff seslerini takip ederek, sistolik ve diyastolik kan basınç değerlerini tespit etme</w:t>
            </w:r>
          </w:p>
        </w:tc>
        <w:tc>
          <w:tcPr>
            <w:tcW w:w="336" w:type="dxa"/>
          </w:tcPr>
          <w:p w14:paraId="197B2B3A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535FE74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36F6C54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1F001539" w14:textId="77777777" w:rsidTr="00084CC1">
        <w:tc>
          <w:tcPr>
            <w:tcW w:w="534" w:type="dxa"/>
          </w:tcPr>
          <w:p w14:paraId="5F1F5F8B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7229" w:type="dxa"/>
          </w:tcPr>
          <w:p w14:paraId="51A152E7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Diyastolik KB duyulduktan sonra, manşonun havasını tamamen boşaltma</w:t>
            </w:r>
          </w:p>
        </w:tc>
        <w:tc>
          <w:tcPr>
            <w:tcW w:w="336" w:type="dxa"/>
          </w:tcPr>
          <w:p w14:paraId="34F647FA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734166A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44CBD1E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3880EC03" w14:textId="77777777" w:rsidTr="00084CC1">
        <w:tc>
          <w:tcPr>
            <w:tcW w:w="534" w:type="dxa"/>
          </w:tcPr>
          <w:p w14:paraId="613ADFB5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2AA4FED8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Stetoskopu kulaktan çıkarma ve manşonu koldan ayırma</w:t>
            </w:r>
          </w:p>
        </w:tc>
        <w:tc>
          <w:tcPr>
            <w:tcW w:w="336" w:type="dxa"/>
          </w:tcPr>
          <w:p w14:paraId="16D16103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98380EF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4F650A7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26811BAD" w14:textId="77777777" w:rsidTr="00084CC1">
        <w:tc>
          <w:tcPr>
            <w:tcW w:w="534" w:type="dxa"/>
          </w:tcPr>
          <w:p w14:paraId="44EB04A8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14:paraId="071E8B82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336" w:type="dxa"/>
          </w:tcPr>
          <w:p w14:paraId="39DAB1F9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5EA7CB2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FBE66F8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EF" w:rsidRPr="00084CC1" w14:paraId="12B48CAB" w14:textId="77777777" w:rsidTr="00084CC1">
        <w:trPr>
          <w:trHeight w:val="265"/>
        </w:trPr>
        <w:tc>
          <w:tcPr>
            <w:tcW w:w="534" w:type="dxa"/>
          </w:tcPr>
          <w:p w14:paraId="420F7EAF" w14:textId="77777777" w:rsidR="007E30EF" w:rsidRPr="00084CC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14:paraId="677BDA4F" w14:textId="77777777" w:rsidR="007E30EF" w:rsidRPr="00084CC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C1">
              <w:rPr>
                <w:rFonts w:ascii="Times New Roman" w:hAnsi="Times New Roman" w:cs="Times New Roman"/>
                <w:sz w:val="24"/>
                <w:szCs w:val="24"/>
              </w:rPr>
              <w:t>Yapılan işlemi ve gözlemleri kaydetme</w:t>
            </w:r>
          </w:p>
        </w:tc>
        <w:tc>
          <w:tcPr>
            <w:tcW w:w="336" w:type="dxa"/>
          </w:tcPr>
          <w:p w14:paraId="157307A1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8F879C9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F650D1A" w14:textId="77777777" w:rsidR="007E30EF" w:rsidRPr="00084CC1" w:rsidRDefault="007E3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53717" w14:textId="77777777" w:rsidR="0090681F" w:rsidRPr="00084CC1" w:rsidRDefault="0090681F">
      <w:pPr>
        <w:rPr>
          <w:rFonts w:ascii="Times New Roman" w:hAnsi="Times New Roman" w:cs="Times New Roman"/>
          <w:sz w:val="24"/>
          <w:szCs w:val="24"/>
        </w:rPr>
      </w:pPr>
    </w:p>
    <w:sectPr w:rsidR="0090681F" w:rsidRPr="00084C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4030575">
    <w:abstractNumId w:val="8"/>
  </w:num>
  <w:num w:numId="2" w16cid:durableId="214968343">
    <w:abstractNumId w:val="6"/>
  </w:num>
  <w:num w:numId="3" w16cid:durableId="198321845">
    <w:abstractNumId w:val="5"/>
  </w:num>
  <w:num w:numId="4" w16cid:durableId="1429889340">
    <w:abstractNumId w:val="4"/>
  </w:num>
  <w:num w:numId="5" w16cid:durableId="1673530952">
    <w:abstractNumId w:val="7"/>
  </w:num>
  <w:num w:numId="6" w16cid:durableId="1923291167">
    <w:abstractNumId w:val="3"/>
  </w:num>
  <w:num w:numId="7" w16cid:durableId="1358585137">
    <w:abstractNumId w:val="2"/>
  </w:num>
  <w:num w:numId="8" w16cid:durableId="1366324343">
    <w:abstractNumId w:val="1"/>
  </w:num>
  <w:num w:numId="9" w16cid:durableId="192363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CC1"/>
    <w:rsid w:val="00116FAF"/>
    <w:rsid w:val="0015074B"/>
    <w:rsid w:val="0029639D"/>
    <w:rsid w:val="00326F90"/>
    <w:rsid w:val="007E30EF"/>
    <w:rsid w:val="0090681F"/>
    <w:rsid w:val="00AA1D8D"/>
    <w:rsid w:val="00B47730"/>
    <w:rsid w:val="00BC2A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105DE"/>
  <w14:defaultImageDpi w14:val="300"/>
  <w15:docId w15:val="{B43BF099-EB5A-4769-B828-21EC8779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3</cp:revision>
  <dcterms:created xsi:type="dcterms:W3CDTF">2013-12-23T23:15:00Z</dcterms:created>
  <dcterms:modified xsi:type="dcterms:W3CDTF">2025-06-06T20:55:00Z</dcterms:modified>
  <cp:category/>
</cp:coreProperties>
</file>