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EDE2" w14:textId="1387AF0C" w:rsidR="00856E60" w:rsidRPr="00B06540" w:rsidRDefault="00B06540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6540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2B1FF53B" w14:textId="21025232" w:rsidR="00B06540" w:rsidRPr="00B06540" w:rsidRDefault="00B06540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6540">
        <w:rPr>
          <w:rFonts w:ascii="Times New Roman" w:hAnsi="Times New Roman" w:cs="Times New Roman"/>
          <w:b/>
          <w:bCs/>
          <w:sz w:val="20"/>
          <w:szCs w:val="20"/>
        </w:rPr>
        <w:t>TRABZON ÜNİVERSİTESİ</w:t>
      </w:r>
    </w:p>
    <w:p w14:paraId="4575D6B1" w14:textId="50E9B5D7" w:rsidR="00B06540" w:rsidRPr="00B06540" w:rsidRDefault="00B06540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6540">
        <w:rPr>
          <w:rFonts w:ascii="Times New Roman" w:hAnsi="Times New Roman" w:cs="Times New Roman"/>
          <w:b/>
          <w:bCs/>
          <w:sz w:val="20"/>
          <w:szCs w:val="20"/>
        </w:rPr>
        <w:t>Tonya Meslek Yüksekokulu</w:t>
      </w:r>
    </w:p>
    <w:p w14:paraId="4A83A513" w14:textId="394A974B" w:rsidR="00B06540" w:rsidRDefault="00B06540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B06540">
        <w:rPr>
          <w:rFonts w:ascii="Times New Roman" w:hAnsi="Times New Roman" w:cs="Times New Roman"/>
          <w:b/>
          <w:bCs/>
          <w:sz w:val="20"/>
          <w:szCs w:val="20"/>
        </w:rPr>
        <w:t>Yatay Geçişle Gelen-Giden Öğrenci Analizi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BFCE9FC" w14:textId="77777777" w:rsidR="00B06540" w:rsidRPr="00B06540" w:rsidRDefault="00B06540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616"/>
        <w:gridCol w:w="903"/>
        <w:gridCol w:w="903"/>
        <w:gridCol w:w="903"/>
        <w:gridCol w:w="903"/>
        <w:gridCol w:w="903"/>
        <w:gridCol w:w="903"/>
      </w:tblGrid>
      <w:tr w:rsidR="0058390E" w:rsidRPr="00007719" w14:paraId="4D3626DD" w14:textId="77777777" w:rsidTr="0058390E">
        <w:trPr>
          <w:trHeight w:val="314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106E47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69636731" w14:textId="61C2EFAE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Programlar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/ Yıllar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7AB4FE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2019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F7E4737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2020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A7F0C1B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7003CDA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2022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F2B5741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2023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CBF2D34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2024</w:t>
            </w:r>
          </w:p>
        </w:tc>
      </w:tr>
      <w:tr w:rsidR="00E673CB" w:rsidRPr="00007719" w14:paraId="2CC8C1FC" w14:textId="77777777" w:rsidTr="0058390E">
        <w:trPr>
          <w:trHeight w:val="314"/>
          <w:jc w:val="center"/>
        </w:trPr>
        <w:tc>
          <w:tcPr>
            <w:tcW w:w="903" w:type="dxa"/>
            <w:vMerge w:val="restart"/>
            <w:shd w:val="clear" w:color="auto" w:fill="auto"/>
            <w:vAlign w:val="center"/>
            <w:hideMark/>
          </w:tcPr>
          <w:p w14:paraId="317DD99B" w14:textId="18791DC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Yatay Geçiş (Gelen Öğrenci)</w:t>
            </w:r>
            <w:r w:rsidR="007024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2616" w:type="dxa"/>
            <w:shd w:val="clear" w:color="auto" w:fill="auto"/>
            <w:vAlign w:val="center"/>
            <w:hideMark/>
          </w:tcPr>
          <w:p w14:paraId="4411E9AC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Yaşlı Bakımı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3E4791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64C8EF2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214AAC3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DE7D44D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1C88988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550EE0A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E673CB" w:rsidRPr="00007719" w14:paraId="0D638C8E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2CC6BDE9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5F70538F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Evde Hasta Bakımı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3426C76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647F110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0F7D8F1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F4A5F21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3305D10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16F141E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E673CB" w:rsidRPr="00007719" w14:paraId="7A3C8E58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3F13EC44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7A5BCDE2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Fizyoterapi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EF6477F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921984C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8DC682F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A95C558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C07484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42EAF5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E673CB" w:rsidRPr="00007719" w14:paraId="6018BB05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002DC1E8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76747F2D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İlk ve Acil Yardım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E3FCD65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0B78112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ADF603D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67BCFB1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6DB705F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B72D9C1" w14:textId="77777777" w:rsidR="00E673CB" w:rsidRPr="00007719" w:rsidRDefault="00E673CB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E673CB" w:rsidRPr="00007719" w14:paraId="4E5FC55E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</w:tcPr>
          <w:p w14:paraId="19051020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</w:tcPr>
          <w:p w14:paraId="72485611" w14:textId="24A3C38C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Tıbbi Laboratuvar Teknikleri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C1ABE17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08FB5233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C8D19D6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3C250022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7282E693" w14:textId="23879E5F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22D48785" w14:textId="24D3636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E673CB" w:rsidRPr="00007719" w14:paraId="3BAECA0B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</w:tcPr>
          <w:p w14:paraId="594BA19F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</w:tcPr>
          <w:p w14:paraId="45843551" w14:textId="3991A584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Tıbbi Görüntüleme Teknikleri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7BFE351F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6248D827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1F992D9B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52775A31" w14:textId="77777777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47CBDD32" w14:textId="5C99256E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72F1A75F" w14:textId="7A3DE3F2" w:rsidR="00E673CB" w:rsidRPr="00007719" w:rsidRDefault="00E673CB" w:rsidP="00E673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007719" w:rsidRPr="00007719" w14:paraId="5D18B94A" w14:textId="77777777" w:rsidTr="0058390E">
        <w:trPr>
          <w:trHeight w:val="314"/>
          <w:jc w:val="center"/>
        </w:trPr>
        <w:tc>
          <w:tcPr>
            <w:tcW w:w="8940" w:type="dxa"/>
            <w:gridSpan w:val="8"/>
            <w:shd w:val="clear" w:color="auto" w:fill="auto"/>
            <w:noWrap/>
            <w:vAlign w:val="center"/>
            <w:hideMark/>
          </w:tcPr>
          <w:p w14:paraId="4666495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8390E" w:rsidRPr="00007719" w14:paraId="78E0B92D" w14:textId="77777777" w:rsidTr="0058390E">
        <w:trPr>
          <w:trHeight w:val="314"/>
          <w:jc w:val="center"/>
        </w:trPr>
        <w:tc>
          <w:tcPr>
            <w:tcW w:w="903" w:type="dxa"/>
            <w:vMerge w:val="restart"/>
            <w:shd w:val="clear" w:color="auto" w:fill="auto"/>
            <w:vAlign w:val="center"/>
            <w:hideMark/>
          </w:tcPr>
          <w:p w14:paraId="1889438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Yatay Geçiş (Giden Öğrenci)</w:t>
            </w:r>
          </w:p>
        </w:tc>
        <w:tc>
          <w:tcPr>
            <w:tcW w:w="2616" w:type="dxa"/>
            <w:shd w:val="clear" w:color="auto" w:fill="auto"/>
            <w:vAlign w:val="center"/>
            <w:hideMark/>
          </w:tcPr>
          <w:p w14:paraId="64F10868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Yaşlı Bakımı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DDC609D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A7330EA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0285E9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7C1C20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F3DC4C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FB3340D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007719" w:rsidRPr="00007719" w14:paraId="1F93BA28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602CE71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35AB0F70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Evde Hasta Bakımı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7C159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9558D95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22588D5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4FF4F62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195540B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8C603F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007719" w:rsidRPr="00007719" w14:paraId="7013AE4E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015961AF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5D051F2F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Fizyoterapi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88A3926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9BF3B66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85694AB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C922B14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E8B78A2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79F9493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007719" w:rsidRPr="00007719" w14:paraId="36BCAC49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3E12DD8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74CA1D65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İlk ve Acil Yardım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8D6AE38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EE65E01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6B12707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5330923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1F27C7F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E9F0CD8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007719" w:rsidRPr="00007719" w14:paraId="732CA57C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7F2A430F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135B8ECA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Tıbbi Laboratuvar Teknikleri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A818412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5B47238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68E935A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6B7C8B2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39B4F2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8392426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007719" w:rsidRPr="00007719" w14:paraId="2B818D53" w14:textId="77777777" w:rsidTr="0058390E">
        <w:trPr>
          <w:trHeight w:val="314"/>
          <w:jc w:val="center"/>
        </w:trPr>
        <w:tc>
          <w:tcPr>
            <w:tcW w:w="903" w:type="dxa"/>
            <w:vMerge/>
            <w:vAlign w:val="center"/>
            <w:hideMark/>
          </w:tcPr>
          <w:p w14:paraId="12D58487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16" w:type="dxa"/>
            <w:shd w:val="clear" w:color="auto" w:fill="auto"/>
            <w:noWrap/>
            <w:vAlign w:val="center"/>
            <w:hideMark/>
          </w:tcPr>
          <w:p w14:paraId="2449F9E6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Tıbbi Görüntüleme Teknikleri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504B1A3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01FA62F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9374F76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19F03B69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023E0F2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B79676C" w14:textId="77777777" w:rsidR="00007719" w:rsidRPr="00007719" w:rsidRDefault="00007719" w:rsidP="000077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7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</w:tbl>
    <w:p w14:paraId="3A1F1749" w14:textId="401AA151" w:rsidR="00007719" w:rsidRPr="00702491" w:rsidRDefault="00702491" w:rsidP="007024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491">
        <w:rPr>
          <w:rFonts w:ascii="Times New Roman" w:hAnsi="Times New Roman" w:cs="Times New Roman"/>
          <w:sz w:val="20"/>
          <w:szCs w:val="20"/>
        </w:rPr>
        <w:t>*Sadece kayı yaptıran öğrenciler değerlendirilmiştir. Kazanan ancak kayıt yaptırmayan öğrenciler liste dışı bırakılmıştır.</w:t>
      </w:r>
    </w:p>
    <w:p w14:paraId="43424E1C" w14:textId="77777777" w:rsidR="00702491" w:rsidRPr="00702491" w:rsidRDefault="00702491" w:rsidP="00702491">
      <w:pPr>
        <w:spacing w:after="0" w:line="360" w:lineRule="auto"/>
        <w:rPr>
          <w:sz w:val="20"/>
          <w:szCs w:val="20"/>
        </w:rPr>
      </w:pPr>
    </w:p>
    <w:p w14:paraId="17C579C4" w14:textId="769F1232" w:rsidR="00007719" w:rsidRPr="00007719" w:rsidRDefault="00007719" w:rsidP="00007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Yaşlı Bakımı Programı</w:t>
      </w:r>
    </w:p>
    <w:p w14:paraId="146F9F1C" w14:textId="359A478E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Yaşlı Bakımı programına yatay geçiş yapan ve programdan ayrılan öğrenci sayılarının değerlendirilmesi, öğrenci hareketliliğinin nedenlerinin belirlenmesi ve programın sürdürülebilirliğini artırmaya yönelik stratejiler geliştirilmesi amaçlanmaktadır.</w:t>
      </w:r>
    </w:p>
    <w:p w14:paraId="126D8654" w14:textId="455A55CC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2019-2024 yılları arasında yatay geçiş yapan öğrencilerin verileri incelenmiş, gelen ve giden öğrenci sayıları analiz edilmiştir.</w:t>
      </w:r>
    </w:p>
    <w:p w14:paraId="156C881A" w14:textId="4DD80AC2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 xml:space="preserve">Bulgular: </w:t>
      </w:r>
      <w:r w:rsidRPr="00007719">
        <w:rPr>
          <w:rFonts w:ascii="Times New Roman" w:hAnsi="Times New Roman" w:cs="Times New Roman"/>
          <w:sz w:val="20"/>
          <w:szCs w:val="20"/>
        </w:rPr>
        <w:t>Gelen öğrenci sayısı genel olarak istikrarlı olup, her yıl 1 veya 3 öğrenci yatay geçiş yapmıştır.</w:t>
      </w:r>
      <w:r w:rsidRPr="000077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7719">
        <w:rPr>
          <w:rFonts w:ascii="Times New Roman" w:hAnsi="Times New Roman" w:cs="Times New Roman"/>
          <w:sz w:val="20"/>
          <w:szCs w:val="20"/>
        </w:rPr>
        <w:t>2021 yılında gelen öğrenci sayısında bir artış (3) görülse de diğer yıllarda sayı düşüktür.</w:t>
      </w:r>
      <w:r w:rsidRPr="000077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7719">
        <w:rPr>
          <w:rFonts w:ascii="Times New Roman" w:hAnsi="Times New Roman" w:cs="Times New Roman"/>
          <w:sz w:val="20"/>
          <w:szCs w:val="20"/>
        </w:rPr>
        <w:t>Giden öğrenci sayısında ise 2021 yılında önemli bir artış (7) yaşanmış, ancak takip eden yıllarda azalmıştır.</w:t>
      </w:r>
    </w:p>
    <w:p w14:paraId="562D107A" w14:textId="64F56F95" w:rsid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Yaşlı Bakımı programında yatay geçişle gelen öğrenci sayısı sınırlı ve istikrarlıdır. Ancak 2021’de giden öğrenci sayısındaki ani artış, programın bazı yönlerinin iyileştirilmesi gerektiğini göstermektedir. </w:t>
      </w:r>
      <w:r w:rsidR="003B72DA">
        <w:rPr>
          <w:rFonts w:ascii="Times New Roman" w:hAnsi="Times New Roman" w:cs="Times New Roman"/>
          <w:sz w:val="20"/>
          <w:szCs w:val="20"/>
        </w:rPr>
        <w:t>Çift anadal programı uygulamaları başka üniversiteye geçiş yapmak isteyen öğrencilerin azalmasına katkı sunabilir.</w:t>
      </w:r>
    </w:p>
    <w:p w14:paraId="75829F54" w14:textId="32E7C8C2" w:rsidR="00007719" w:rsidRPr="00B06540" w:rsidRDefault="00007719" w:rsidP="00B06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Evde Hasta Bakımı Programı</w:t>
      </w:r>
    </w:p>
    <w:p w14:paraId="59BF3FB2" w14:textId="466323AE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Evde Hasta Bakımı programındaki yatay geçiş hareketliliğini değerlendirerek öğrenci tercihlerinin nedenlerini belirlemek ve programın devamlılığını sağlamak amaçlanmaktadır.</w:t>
      </w:r>
    </w:p>
    <w:p w14:paraId="349AB130" w14:textId="6B2A46A9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2019-2024 verileri analiz edilerek gelen ve giden öğrenci sayıları karşılaştırılmıştır.</w:t>
      </w:r>
    </w:p>
    <w:p w14:paraId="53EBC77A" w14:textId="229833E9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Bulgular:</w:t>
      </w:r>
      <w:r w:rsidRPr="00007719">
        <w:rPr>
          <w:rFonts w:ascii="Times New Roman" w:hAnsi="Times New Roman" w:cs="Times New Roman"/>
          <w:sz w:val="20"/>
          <w:szCs w:val="20"/>
        </w:rPr>
        <w:t xml:space="preserve"> Programa 2020 ve 2023 yıllarında yatay geçişle gelen öğrenci olmuş ancak diğer yıllarda düşük kalmıştır. Programdan ayrılan öğrenci sayısı 2022 yılında artmış (2), ancak sonrasında hiç öğrenci ayrılmamıştır.</w:t>
      </w:r>
    </w:p>
    <w:p w14:paraId="1DD8E9F8" w14:textId="77777777" w:rsidR="003B72DA" w:rsidRDefault="00007719" w:rsidP="003B72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lastRenderedPageBreak/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Evde Hasta Bakımı programı düşük öğrenci hareketliliğine sahiptir. </w:t>
      </w:r>
      <w:r w:rsidR="003B72DA" w:rsidRPr="003B72DA">
        <w:rPr>
          <w:rFonts w:ascii="Times New Roman" w:hAnsi="Times New Roman" w:cs="Times New Roman"/>
          <w:sz w:val="20"/>
          <w:szCs w:val="20"/>
        </w:rPr>
        <w:t>Çift anadal programı uygulamaları başka üniversiteye geçiş yapmak isteyen öğrencilerin azalmasına katkı sunabilir.</w:t>
      </w:r>
    </w:p>
    <w:p w14:paraId="67B7280A" w14:textId="740FD12F" w:rsidR="00007719" w:rsidRPr="00007719" w:rsidRDefault="00007719" w:rsidP="003B72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Fizyoterapi Programı</w:t>
      </w:r>
    </w:p>
    <w:p w14:paraId="5663BA1D" w14:textId="19E1D62A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Fizyoterapi programına yatay geçiş yapan ve programdan ayrılan öğrenci eğilimlerinin incelenerek eğitim kalitesinin artırılması hedeflenmektedir.</w:t>
      </w:r>
    </w:p>
    <w:p w14:paraId="229DDF4D" w14:textId="1AD9D671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Veriler incelenerek yatay geçiş hareketliliği analiz edilmiştir.</w:t>
      </w:r>
    </w:p>
    <w:p w14:paraId="502F5DC3" w14:textId="77777777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Bulgular: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2019-2022 arasında her yıl 1 öğrenci programa yatay geçiş yapmıştır, ancak 2023 ve 2024’te yatay geçişle gelen öğrenci olmamıştır. 2022 yılında programdan ayrılan öğrenci sayısı 3 iken, 2023 ve 2024’te hiç ayrılan olmamıştır.</w:t>
      </w:r>
    </w:p>
    <w:p w14:paraId="77934D9D" w14:textId="442CEDF6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Fizyoterapi programına olan ilgi azalmıştır. Bu durum, programın tanıtımının artırılması gerektiğini göstermektedir. Öğrenci çekmek için programın güçlü yönlerinin vurgulanması ve yeni eğitim materyallerinin geliştirilmesi önerilmektedir.</w:t>
      </w:r>
    </w:p>
    <w:p w14:paraId="762255B8" w14:textId="4AB096B4" w:rsidR="00007719" w:rsidRPr="00007719" w:rsidRDefault="00007719" w:rsidP="00007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İlk ve Acil Yardım Programı</w:t>
      </w:r>
    </w:p>
    <w:p w14:paraId="0B4305DE" w14:textId="1064312D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İlk ve Acil Yardım programındaki yatay geçiş hareketliliğini analiz ederek, öğrenci kayıplarını azaltmaya ve programın çekiciliğini artırmaya yönelik öneriler geliştirmek amaçlanmaktadır.</w:t>
      </w:r>
    </w:p>
    <w:p w14:paraId="6489AA65" w14:textId="3287F7DC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2019-2024 yıllarındaki yatay geçiş verileri analiz edilmiştir.</w:t>
      </w:r>
    </w:p>
    <w:p w14:paraId="25B1E74D" w14:textId="67C064ED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Bulgular:</w:t>
      </w:r>
      <w:r w:rsidRPr="00007719">
        <w:rPr>
          <w:rFonts w:ascii="Times New Roman" w:hAnsi="Times New Roman" w:cs="Times New Roman"/>
          <w:sz w:val="20"/>
          <w:szCs w:val="20"/>
        </w:rPr>
        <w:t xml:space="preserve"> Gelen öğrenci sayısı yıllara göre değişiklik göstermektedir. 2019-2021 arasında her yıl 1 öğrenci gelirken, 2022’de hiç olmamış, 2023 ve 2024’te artış göstermiştir (2 ve 1). Programdan ayrılan öğrenci sayısı 2022’de en yüksek seviyeye (7) çıkmış, 2023 ve 2024’te azalmıştır (2 ve 3).</w:t>
      </w:r>
    </w:p>
    <w:p w14:paraId="50EA099B" w14:textId="40F9B10C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İlk ve Acil Yardım programında öğrenci kaybının en yüksek olduğu yıl 2022 olmuştur. Bunun nedenleri araştırılarak eğitim ortamı iyileştirilmeli ve öğrenci memnuniyeti artırılmalıdır. Ayrıca program tanıtım faaliyetleri güçlendirilmelidir.</w:t>
      </w:r>
    </w:p>
    <w:p w14:paraId="5B52040B" w14:textId="6B01AEF9" w:rsidR="00007719" w:rsidRPr="00007719" w:rsidRDefault="00007719" w:rsidP="00007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Tıbbi Laboratuvar Teknikleri Programı</w:t>
      </w:r>
    </w:p>
    <w:p w14:paraId="712F4D2B" w14:textId="5607241F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Programın yatay geçiş hareketliliğini değerlendirerek öğrenci kaybını en aza indirmek ve programın çekiciliğini artırmak hedeflenmektedir.</w:t>
      </w:r>
    </w:p>
    <w:p w14:paraId="19B43BE7" w14:textId="2F0EADA2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Yatay geçiş verileri analiz edilmiştir.</w:t>
      </w:r>
    </w:p>
    <w:p w14:paraId="6B628390" w14:textId="7D52A5F8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Bulgular: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2023’te 1 öğrenci programdan ayrılmış, 2024’te ise yatay geçiş hareketliliği olmamıştır.</w:t>
      </w:r>
    </w:p>
    <w:p w14:paraId="6E971390" w14:textId="780A11BE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Öğrenci hareketliliği düşük olup, programın tanıtımına ağırlık verilerek daha fazla öğrenci çekilmesi sağlanmalıdır.</w:t>
      </w:r>
    </w:p>
    <w:p w14:paraId="225BD391" w14:textId="18E4B2C5" w:rsidR="00007719" w:rsidRPr="00007719" w:rsidRDefault="00007719" w:rsidP="000077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Tıbbi Görüntüleme Teknikleri Programı</w:t>
      </w:r>
    </w:p>
    <w:p w14:paraId="7826E6AB" w14:textId="77ABE7B3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Amaç: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Programın yatay geçiş eğilimlerini analiz ederek öğrenci kaybını azaltmak ve daha fazla öğrenci çekmek amaçlanmaktadır.</w:t>
      </w:r>
    </w:p>
    <w:p w14:paraId="01652233" w14:textId="77645ACB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Yöntem:</w:t>
      </w:r>
      <w:r w:rsidRPr="00007719">
        <w:rPr>
          <w:rFonts w:ascii="Times New Roman" w:hAnsi="Times New Roman" w:cs="Times New Roman"/>
          <w:sz w:val="20"/>
          <w:szCs w:val="20"/>
        </w:rPr>
        <w:t xml:space="preserve"> Yatay geçiş verileri analiz edilmiştir.</w:t>
      </w:r>
    </w:p>
    <w:p w14:paraId="76637277" w14:textId="1748BE5D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Bulgular:</w:t>
      </w:r>
      <w:r w:rsidRPr="00007719">
        <w:rPr>
          <w:rFonts w:ascii="Times New Roman" w:hAnsi="Times New Roman" w:cs="Times New Roman"/>
          <w:sz w:val="20"/>
          <w:szCs w:val="20"/>
        </w:rPr>
        <w:t xml:space="preserve"> 2023 yılında 3 öğrenci programdan ayrılmış, 2024’te bu sayı 1’e düşmüştür.</w:t>
      </w:r>
    </w:p>
    <w:p w14:paraId="5D7B4578" w14:textId="2581AAB7" w:rsid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719">
        <w:rPr>
          <w:rFonts w:ascii="Times New Roman" w:hAnsi="Times New Roman" w:cs="Times New Roman"/>
          <w:b/>
          <w:bCs/>
          <w:sz w:val="20"/>
          <w:szCs w:val="20"/>
        </w:rPr>
        <w:t>Sonuç:</w:t>
      </w:r>
      <w:r w:rsidRPr="00007719">
        <w:rPr>
          <w:rFonts w:ascii="Times New Roman" w:hAnsi="Times New Roman" w:cs="Times New Roman"/>
          <w:sz w:val="20"/>
          <w:szCs w:val="20"/>
        </w:rPr>
        <w:t xml:space="preserve"> Tıbbi Görüntüleme Teknikleri programında öğrenci kaybı yaşanmaktadır. Programın cazibesini artıracak akademik ve sosyal imkanlar gözden geçirilmeli ve öğrencilerin motivasyonunu artırmaya yönelik çalışmalar yapılmalıdır.</w:t>
      </w:r>
    </w:p>
    <w:p w14:paraId="6B8553D0" w14:textId="77777777" w:rsid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76A6A6" w14:textId="747E78A8" w:rsidR="00007719" w:rsidRPr="00007719" w:rsidRDefault="00007719" w:rsidP="000077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07719" w:rsidRPr="0000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7E0483"/>
    <w:multiLevelType w:val="hybridMultilevel"/>
    <w:tmpl w:val="2C90E1DE"/>
    <w:lvl w:ilvl="0" w:tplc="1CA8B6E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439767">
    <w:abstractNumId w:val="0"/>
  </w:num>
  <w:num w:numId="2" w16cid:durableId="1099641300">
    <w:abstractNumId w:val="1"/>
  </w:num>
  <w:num w:numId="3" w16cid:durableId="103916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9"/>
    <w:rsid w:val="00007719"/>
    <w:rsid w:val="001E7E3D"/>
    <w:rsid w:val="003B72DA"/>
    <w:rsid w:val="0047122A"/>
    <w:rsid w:val="0058390E"/>
    <w:rsid w:val="005C77B0"/>
    <w:rsid w:val="0064640E"/>
    <w:rsid w:val="00702491"/>
    <w:rsid w:val="00753305"/>
    <w:rsid w:val="007E2CD7"/>
    <w:rsid w:val="0082233D"/>
    <w:rsid w:val="00843805"/>
    <w:rsid w:val="00853D55"/>
    <w:rsid w:val="00856E60"/>
    <w:rsid w:val="00864E60"/>
    <w:rsid w:val="00970FC7"/>
    <w:rsid w:val="00B06540"/>
    <w:rsid w:val="00BE5B7C"/>
    <w:rsid w:val="00C7464B"/>
    <w:rsid w:val="00D94898"/>
    <w:rsid w:val="00E52DD0"/>
    <w:rsid w:val="00E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68DF"/>
  <w15:chartTrackingRefBased/>
  <w15:docId w15:val="{C90A576A-6400-42C4-8BB3-85AA1FD2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00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7719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77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77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77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77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77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77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77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7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5</cp:revision>
  <dcterms:created xsi:type="dcterms:W3CDTF">2025-03-04T16:31:00Z</dcterms:created>
  <dcterms:modified xsi:type="dcterms:W3CDTF">2025-06-24T19:53:00Z</dcterms:modified>
</cp:coreProperties>
</file>