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66C05" w14:textId="06E65165" w:rsidR="00AD2FFF" w:rsidRPr="00AD2FFF" w:rsidRDefault="00681FF0" w:rsidP="00681FF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FC7DE9" wp14:editId="34F2A87A">
            <wp:simplePos x="0" y="0"/>
            <wp:positionH relativeFrom="column">
              <wp:posOffset>5162550</wp:posOffset>
            </wp:positionH>
            <wp:positionV relativeFrom="paragraph">
              <wp:posOffset>-444500</wp:posOffset>
            </wp:positionV>
            <wp:extent cx="866285" cy="876300"/>
            <wp:effectExtent l="0" t="0" r="0" b="0"/>
            <wp:wrapNone/>
            <wp:docPr id="1158525709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59865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9DD264" wp14:editId="55799915">
            <wp:simplePos x="0" y="0"/>
            <wp:positionH relativeFrom="column">
              <wp:posOffset>-347345</wp:posOffset>
            </wp:positionH>
            <wp:positionV relativeFrom="paragraph">
              <wp:posOffset>-442595</wp:posOffset>
            </wp:positionV>
            <wp:extent cx="866285" cy="876300"/>
            <wp:effectExtent l="0" t="0" r="0" b="0"/>
            <wp:wrapNone/>
            <wp:docPr id="1715059865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59865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FFF" w:rsidRPr="00AD2FFF">
        <w:rPr>
          <w:rFonts w:ascii="Times New Roman" w:hAnsi="Times New Roman" w:cs="Times New Roman"/>
          <w:b/>
          <w:bCs/>
        </w:rPr>
        <w:t>T.C.</w:t>
      </w:r>
      <w:r w:rsidRPr="00681FF0">
        <w:rPr>
          <w:noProof/>
        </w:rPr>
        <w:t xml:space="preserve"> </w:t>
      </w:r>
    </w:p>
    <w:p w14:paraId="675A2D71" w14:textId="0C1CAE63" w:rsidR="00AD2FFF" w:rsidRPr="00AD2FFF" w:rsidRDefault="00AD2FFF" w:rsidP="00681FF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D2FFF">
        <w:rPr>
          <w:rFonts w:ascii="Times New Roman" w:hAnsi="Times New Roman" w:cs="Times New Roman"/>
          <w:b/>
          <w:bCs/>
        </w:rPr>
        <w:t>TRABZON ÜNİVERSİTESİ</w:t>
      </w:r>
    </w:p>
    <w:p w14:paraId="6EDF6336" w14:textId="5DD460E1" w:rsidR="00AD2FFF" w:rsidRPr="00AD2FFF" w:rsidRDefault="00AD2FFF" w:rsidP="00681FF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D2FFF">
        <w:rPr>
          <w:rFonts w:ascii="Times New Roman" w:hAnsi="Times New Roman" w:cs="Times New Roman"/>
          <w:b/>
          <w:bCs/>
        </w:rPr>
        <w:t>Tonya Meslek Yüksekokulu</w:t>
      </w:r>
    </w:p>
    <w:p w14:paraId="0A387975" w14:textId="10304247" w:rsidR="00AD2FFF" w:rsidRPr="00AD2FFF" w:rsidRDefault="00AD2FFF" w:rsidP="00681FF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D2FFF">
        <w:rPr>
          <w:rFonts w:ascii="Times New Roman" w:hAnsi="Times New Roman" w:cs="Times New Roman"/>
          <w:b/>
          <w:bCs/>
        </w:rPr>
        <w:t>Web Sitesinde Yer Alan Haber ve Duyuruların Analiz Raporu (Ağustos-Ekim 2025)</w:t>
      </w:r>
    </w:p>
    <w:p w14:paraId="75F8B4B2" w14:textId="796B4AB8" w:rsidR="00AD2FFF" w:rsidRPr="00AD2FFF" w:rsidRDefault="00AD2FFF" w:rsidP="00681F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FC437A3" w14:textId="450FD71D" w:rsidR="00AD2FFF" w:rsidRPr="00AD2FFF" w:rsidRDefault="00AD2FFF" w:rsidP="0068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FFF">
        <w:rPr>
          <w:rFonts w:ascii="Times New Roman" w:hAnsi="Times New Roman" w:cs="Times New Roman"/>
          <w:b/>
          <w:bCs/>
        </w:rPr>
        <w:t xml:space="preserve">Amaç: </w:t>
      </w:r>
      <w:r w:rsidRPr="00AD2FFF">
        <w:rPr>
          <w:rFonts w:ascii="Times New Roman" w:hAnsi="Times New Roman" w:cs="Times New Roman"/>
        </w:rPr>
        <w:t>Tonya Meslek Yüksekokulu web sitesinde yayımlanan haber ve duyuruların okunma verilerini inceleyerek, okuyucu ilgisini en çok çeken temaları belirlemek ve kurumsal iletişim stratejilerinin geliştirilmesine yönelik veri temelli çıkarımlar sunmaktır.</w:t>
      </w:r>
    </w:p>
    <w:p w14:paraId="53D8E12A" w14:textId="39D39D66" w:rsidR="00AD2FFF" w:rsidRPr="00AD2FFF" w:rsidRDefault="00AD2FFF" w:rsidP="0068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FFF">
        <w:rPr>
          <w:rFonts w:ascii="Times New Roman" w:hAnsi="Times New Roman" w:cs="Times New Roman"/>
          <w:b/>
          <w:bCs/>
        </w:rPr>
        <w:t>Yöntem:</w:t>
      </w:r>
      <w:r w:rsidRPr="00AD2FFF">
        <w:rPr>
          <w:rFonts w:ascii="Times New Roman" w:hAnsi="Times New Roman" w:cs="Times New Roman"/>
        </w:rPr>
        <w:t xml:space="preserve"> Çalışmada Ağustos-Ekim 2025</w:t>
      </w:r>
      <w:r>
        <w:rPr>
          <w:rFonts w:ascii="Times New Roman" w:hAnsi="Times New Roman" w:cs="Times New Roman"/>
        </w:rPr>
        <w:t xml:space="preserve"> dönemine </w:t>
      </w:r>
      <w:r w:rsidRPr="00AD2FFF">
        <w:rPr>
          <w:rFonts w:ascii="Times New Roman" w:hAnsi="Times New Roman" w:cs="Times New Roman"/>
        </w:rPr>
        <w:t>ait haber ve duyuru metinleri incelenmiş</w:t>
      </w:r>
      <w:r>
        <w:rPr>
          <w:rFonts w:ascii="Times New Roman" w:hAnsi="Times New Roman" w:cs="Times New Roman"/>
        </w:rPr>
        <w:t>tir. H</w:t>
      </w:r>
      <w:r w:rsidRPr="00AD2FFF">
        <w:rPr>
          <w:rFonts w:ascii="Times New Roman" w:hAnsi="Times New Roman" w:cs="Times New Roman"/>
        </w:rPr>
        <w:t xml:space="preserve">er bir içerik </w:t>
      </w:r>
      <w:r>
        <w:rPr>
          <w:rFonts w:ascii="Times New Roman" w:hAnsi="Times New Roman" w:cs="Times New Roman"/>
        </w:rPr>
        <w:t xml:space="preserve">tematik olarak </w:t>
      </w:r>
      <w:r w:rsidRPr="00AD2FFF">
        <w:rPr>
          <w:rFonts w:ascii="Times New Roman" w:hAnsi="Times New Roman" w:cs="Times New Roman"/>
        </w:rPr>
        <w:t>sınıflandırılmış ve okunma sayıları istatistiksel olarak analiz edilmiştir. Veriler tablo ve grafiklerle görselleştirilerek karşılaştırmalı</w:t>
      </w:r>
      <w:r>
        <w:rPr>
          <w:rFonts w:ascii="Times New Roman" w:hAnsi="Times New Roman" w:cs="Times New Roman"/>
        </w:rPr>
        <w:t xml:space="preserve"> olarak</w:t>
      </w:r>
      <w:r w:rsidRPr="00AD2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değerlendirilmiştir.</w:t>
      </w:r>
    </w:p>
    <w:p w14:paraId="3B963C8A" w14:textId="77777777" w:rsidR="00E7530D" w:rsidRDefault="00AD2FFF" w:rsidP="0068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D2FFF">
        <w:rPr>
          <w:rFonts w:ascii="Times New Roman" w:hAnsi="Times New Roman" w:cs="Times New Roman"/>
          <w:b/>
          <w:bCs/>
        </w:rPr>
        <w:t>Bulgular:</w:t>
      </w:r>
      <w:r w:rsidRPr="00AD2FFF">
        <w:rPr>
          <w:rFonts w:ascii="Times New Roman" w:hAnsi="Times New Roman" w:cs="Times New Roman"/>
        </w:rPr>
        <w:t xml:space="preserve"> Analiz sonucunda, duyuruların ortalama okunma sayısının</w:t>
      </w:r>
      <w:r>
        <w:rPr>
          <w:rFonts w:ascii="Times New Roman" w:hAnsi="Times New Roman" w:cs="Times New Roman"/>
        </w:rPr>
        <w:t xml:space="preserve">, </w:t>
      </w:r>
      <w:r w:rsidRPr="00AD2FFF">
        <w:rPr>
          <w:rFonts w:ascii="Times New Roman" w:hAnsi="Times New Roman" w:cs="Times New Roman"/>
        </w:rPr>
        <w:t>haberlerden daha yüksek olduğu belirlenmiştir.</w:t>
      </w:r>
      <w:r>
        <w:rPr>
          <w:rFonts w:ascii="Times New Roman" w:hAnsi="Times New Roman" w:cs="Times New Roman"/>
        </w:rPr>
        <w:t xml:space="preserve"> </w:t>
      </w:r>
      <w:r w:rsidRPr="00AD2FFF">
        <w:rPr>
          <w:rFonts w:ascii="Times New Roman" w:hAnsi="Times New Roman" w:cs="Times New Roman"/>
        </w:rPr>
        <w:t xml:space="preserve">Haberlerde </w:t>
      </w:r>
      <w:r>
        <w:rPr>
          <w:rFonts w:ascii="Times New Roman" w:hAnsi="Times New Roman" w:cs="Times New Roman"/>
        </w:rPr>
        <w:t xml:space="preserve">etkileşim açısından öne çıkan </w:t>
      </w:r>
      <w:r w:rsidRPr="00AD2FFF">
        <w:rPr>
          <w:rFonts w:ascii="Times New Roman" w:hAnsi="Times New Roman" w:cs="Times New Roman"/>
        </w:rPr>
        <w:t>temalar</w:t>
      </w:r>
      <w:r>
        <w:rPr>
          <w:rFonts w:ascii="Times New Roman" w:hAnsi="Times New Roman" w:cs="Times New Roman"/>
        </w:rPr>
        <w:t>ın</w:t>
      </w:r>
      <w:r w:rsidRPr="00AD2FFF">
        <w:rPr>
          <w:rFonts w:ascii="Times New Roman" w:hAnsi="Times New Roman" w:cs="Times New Roman"/>
        </w:rPr>
        <w:t xml:space="preserve"> “Tanıtım ve İletişim” ile “Öğrenci Etkinlikleri” </w:t>
      </w:r>
      <w:r>
        <w:rPr>
          <w:rFonts w:ascii="Times New Roman" w:hAnsi="Times New Roman" w:cs="Times New Roman"/>
        </w:rPr>
        <w:t>olduğu</w:t>
      </w:r>
      <w:r w:rsidRPr="00AD2FFF">
        <w:rPr>
          <w:rFonts w:ascii="Times New Roman" w:hAnsi="Times New Roman" w:cs="Times New Roman"/>
        </w:rPr>
        <w:t xml:space="preserve"> duyurularda</w:t>
      </w:r>
      <w:r>
        <w:rPr>
          <w:rFonts w:ascii="Times New Roman" w:hAnsi="Times New Roman" w:cs="Times New Roman"/>
        </w:rPr>
        <w:t xml:space="preserve"> ise</w:t>
      </w:r>
      <w:r w:rsidRPr="00AD2FFF">
        <w:rPr>
          <w:rFonts w:ascii="Times New Roman" w:hAnsi="Times New Roman" w:cs="Times New Roman"/>
        </w:rPr>
        <w:t xml:space="preserve"> “Kayıt ve Öğrenci</w:t>
      </w:r>
      <w:r w:rsidR="00086D09">
        <w:rPr>
          <w:rFonts w:ascii="Times New Roman" w:hAnsi="Times New Roman" w:cs="Times New Roman"/>
        </w:rPr>
        <w:t xml:space="preserve"> </w:t>
      </w:r>
      <w:r w:rsidRPr="00AD2FFF">
        <w:rPr>
          <w:rFonts w:ascii="Times New Roman" w:hAnsi="Times New Roman" w:cs="Times New Roman"/>
        </w:rPr>
        <w:t xml:space="preserve">İşlemleri” ve “Staj–İş İlanları” </w:t>
      </w:r>
      <w:r>
        <w:rPr>
          <w:rFonts w:ascii="Times New Roman" w:hAnsi="Times New Roman" w:cs="Times New Roman"/>
        </w:rPr>
        <w:t>olduğu görülmüştür</w:t>
      </w:r>
      <w:r w:rsidRPr="00AD2FFF">
        <w:rPr>
          <w:rFonts w:ascii="Times New Roman" w:hAnsi="Times New Roman" w:cs="Times New Roman"/>
        </w:rPr>
        <w:t>.</w:t>
      </w:r>
    </w:p>
    <w:p w14:paraId="39EC1369" w14:textId="7DC9A39A" w:rsidR="00AD2FFF" w:rsidRPr="00681FF0" w:rsidRDefault="00DF3341" w:rsidP="00681FF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81FF0">
        <w:rPr>
          <w:rFonts w:ascii="Times New Roman" w:hAnsi="Times New Roman" w:cs="Times New Roman"/>
          <w:i/>
          <w:iCs/>
          <w:sz w:val="22"/>
          <w:szCs w:val="22"/>
        </w:rPr>
        <w:t>Tablo 1.</w:t>
      </w:r>
      <w:r w:rsidR="00AD2FFF" w:rsidRPr="00681FF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81FF0">
        <w:rPr>
          <w:rFonts w:ascii="Times New Roman" w:hAnsi="Times New Roman" w:cs="Times New Roman"/>
          <w:i/>
          <w:iCs/>
          <w:sz w:val="22"/>
          <w:szCs w:val="22"/>
        </w:rPr>
        <w:t>Haberlerin Tematik Analizi</w:t>
      </w:r>
    </w:p>
    <w:tbl>
      <w:tblPr>
        <w:tblW w:w="1078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208"/>
        <w:gridCol w:w="761"/>
        <w:gridCol w:w="830"/>
        <w:gridCol w:w="4405"/>
      </w:tblGrid>
      <w:tr w:rsidR="00ED2F11" w:rsidRPr="00681FF0" w14:paraId="1C111803" w14:textId="77777777" w:rsidTr="00681FF0">
        <w:trPr>
          <w:trHeight w:val="622"/>
          <w:tblHeader/>
          <w:tblCellSpacing w:w="15" w:type="dxa"/>
          <w:jc w:val="center"/>
        </w:trPr>
        <w:tc>
          <w:tcPr>
            <w:tcW w:w="1537" w:type="dxa"/>
            <w:vAlign w:val="center"/>
            <w:hideMark/>
          </w:tcPr>
          <w:p w14:paraId="30B16B9A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Tema</w:t>
            </w:r>
          </w:p>
        </w:tc>
        <w:tc>
          <w:tcPr>
            <w:tcW w:w="3182" w:type="dxa"/>
            <w:vAlign w:val="center"/>
            <w:hideMark/>
          </w:tcPr>
          <w:p w14:paraId="2179BF39" w14:textId="1F385E4C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Konular</w:t>
            </w:r>
          </w:p>
        </w:tc>
        <w:tc>
          <w:tcPr>
            <w:tcW w:w="731" w:type="dxa"/>
            <w:vAlign w:val="center"/>
            <w:hideMark/>
          </w:tcPr>
          <w:p w14:paraId="56A9C419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Toplam Okunma</w:t>
            </w:r>
          </w:p>
        </w:tc>
        <w:tc>
          <w:tcPr>
            <w:tcW w:w="789" w:type="dxa"/>
            <w:vAlign w:val="center"/>
            <w:hideMark/>
          </w:tcPr>
          <w:p w14:paraId="49D4DD7B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Ortalama Okunma</w:t>
            </w:r>
          </w:p>
        </w:tc>
        <w:tc>
          <w:tcPr>
            <w:tcW w:w="4366" w:type="dxa"/>
            <w:vAlign w:val="center"/>
            <w:hideMark/>
          </w:tcPr>
          <w:p w14:paraId="06418ED4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Yorum</w:t>
            </w:r>
          </w:p>
        </w:tc>
      </w:tr>
      <w:tr w:rsidR="00ED2F11" w:rsidRPr="00681FF0" w14:paraId="324B900F" w14:textId="77777777" w:rsidTr="00681FF0">
        <w:trPr>
          <w:trHeight w:val="933"/>
          <w:tblCellSpacing w:w="15" w:type="dxa"/>
          <w:jc w:val="center"/>
        </w:trPr>
        <w:tc>
          <w:tcPr>
            <w:tcW w:w="1537" w:type="dxa"/>
            <w:vAlign w:val="center"/>
            <w:hideMark/>
          </w:tcPr>
          <w:p w14:paraId="56D2D905" w14:textId="4DC1CE89" w:rsidR="00AD2FFF" w:rsidRPr="00681FF0" w:rsidRDefault="00AD2FFF" w:rsidP="00681FF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Akademik Faaliyetler</w:t>
            </w:r>
          </w:p>
        </w:tc>
        <w:tc>
          <w:tcPr>
            <w:tcW w:w="3182" w:type="dxa"/>
            <w:vAlign w:val="center"/>
            <w:hideMark/>
          </w:tcPr>
          <w:p w14:paraId="71DC7BEA" w14:textId="77777777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Akademik Kurul, MEDEK Hazırlığı, Süreç Yönetimi El Kitabı, Kalite Toplantısı</w:t>
            </w:r>
          </w:p>
        </w:tc>
        <w:tc>
          <w:tcPr>
            <w:tcW w:w="731" w:type="dxa"/>
            <w:vAlign w:val="center"/>
            <w:hideMark/>
          </w:tcPr>
          <w:p w14:paraId="328ABDD0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234</w:t>
            </w:r>
          </w:p>
        </w:tc>
        <w:tc>
          <w:tcPr>
            <w:tcW w:w="789" w:type="dxa"/>
            <w:vAlign w:val="center"/>
            <w:hideMark/>
          </w:tcPr>
          <w:p w14:paraId="0FA0AD81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58,5</w:t>
            </w:r>
          </w:p>
        </w:tc>
        <w:tc>
          <w:tcPr>
            <w:tcW w:w="4366" w:type="dxa"/>
            <w:vAlign w:val="center"/>
            <w:hideMark/>
          </w:tcPr>
          <w:p w14:paraId="222CF8A5" w14:textId="23CD96D6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 xml:space="preserve">Kalite ve kurumsal gelişim odaklı içerikler orta düzeyde </w:t>
            </w:r>
            <w:r w:rsidR="00E7530D" w:rsidRPr="00681FF0">
              <w:rPr>
                <w:rFonts w:ascii="Times New Roman" w:hAnsi="Times New Roman" w:cs="Times New Roman"/>
                <w:sz w:val="18"/>
                <w:szCs w:val="18"/>
              </w:rPr>
              <w:t>okunmuştur.</w:t>
            </w: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D2F11" w:rsidRPr="00681FF0" w14:paraId="4BB395A1" w14:textId="77777777" w:rsidTr="00681FF0">
        <w:trPr>
          <w:trHeight w:val="1245"/>
          <w:tblCellSpacing w:w="15" w:type="dxa"/>
          <w:jc w:val="center"/>
        </w:trPr>
        <w:tc>
          <w:tcPr>
            <w:tcW w:w="1537" w:type="dxa"/>
            <w:vAlign w:val="center"/>
            <w:hideMark/>
          </w:tcPr>
          <w:p w14:paraId="17E2592E" w14:textId="41079508" w:rsidR="00AD2FFF" w:rsidRPr="00681FF0" w:rsidRDefault="00AD2FFF" w:rsidP="00681FF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Etkinlikleri</w:t>
            </w:r>
          </w:p>
        </w:tc>
        <w:tc>
          <w:tcPr>
            <w:tcW w:w="3182" w:type="dxa"/>
            <w:vAlign w:val="center"/>
            <w:hideMark/>
          </w:tcPr>
          <w:p w14:paraId="6184095C" w14:textId="77777777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Oryantasyon Haftası, Çay–Simit, Kulüp Tanıtımı, Temsilci Seçimi, Sınıf Toplantısı</w:t>
            </w:r>
          </w:p>
        </w:tc>
        <w:tc>
          <w:tcPr>
            <w:tcW w:w="731" w:type="dxa"/>
            <w:vAlign w:val="center"/>
            <w:hideMark/>
          </w:tcPr>
          <w:p w14:paraId="2167EB7C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789" w:type="dxa"/>
            <w:vAlign w:val="center"/>
            <w:hideMark/>
          </w:tcPr>
          <w:p w14:paraId="2AC1BE74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61,6</w:t>
            </w:r>
          </w:p>
        </w:tc>
        <w:tc>
          <w:tcPr>
            <w:tcW w:w="4366" w:type="dxa"/>
            <w:vAlign w:val="center"/>
            <w:hideMark/>
          </w:tcPr>
          <w:p w14:paraId="65B429C7" w14:textId="65D7F19B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Öğrenci merkezli haberler daha çok ilgi çekmiş</w:t>
            </w:r>
            <w:r w:rsidR="00ED2F11" w:rsidRPr="00681FF0">
              <w:rPr>
                <w:rFonts w:ascii="Times New Roman" w:hAnsi="Times New Roman" w:cs="Times New Roman"/>
                <w:sz w:val="18"/>
                <w:szCs w:val="18"/>
              </w:rPr>
              <w:t>tir.</w:t>
            </w:r>
          </w:p>
        </w:tc>
      </w:tr>
      <w:tr w:rsidR="00ED2F11" w:rsidRPr="00681FF0" w14:paraId="4DCEDDD5" w14:textId="77777777" w:rsidTr="00681FF0">
        <w:trPr>
          <w:trHeight w:val="933"/>
          <w:tblCellSpacing w:w="15" w:type="dxa"/>
          <w:jc w:val="center"/>
        </w:trPr>
        <w:tc>
          <w:tcPr>
            <w:tcW w:w="1537" w:type="dxa"/>
            <w:vAlign w:val="center"/>
            <w:hideMark/>
          </w:tcPr>
          <w:p w14:paraId="43800F44" w14:textId="56D017C4" w:rsidR="00AD2FFF" w:rsidRPr="00681FF0" w:rsidRDefault="00AD2FFF" w:rsidP="00681FF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Dış Paydaş Katılımı / Toplantılar</w:t>
            </w:r>
          </w:p>
        </w:tc>
        <w:tc>
          <w:tcPr>
            <w:tcW w:w="3182" w:type="dxa"/>
            <w:vAlign w:val="center"/>
            <w:hideMark/>
          </w:tcPr>
          <w:p w14:paraId="22D66C03" w14:textId="77777777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İl Mesleki Eğitim Planı, Staj–İşletme Toplantısı</w:t>
            </w:r>
          </w:p>
        </w:tc>
        <w:tc>
          <w:tcPr>
            <w:tcW w:w="731" w:type="dxa"/>
            <w:vAlign w:val="center"/>
            <w:hideMark/>
          </w:tcPr>
          <w:p w14:paraId="16FA6D6F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789" w:type="dxa"/>
            <w:vAlign w:val="center"/>
            <w:hideMark/>
          </w:tcPr>
          <w:p w14:paraId="2044F399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44,0</w:t>
            </w:r>
          </w:p>
        </w:tc>
        <w:tc>
          <w:tcPr>
            <w:tcW w:w="4366" w:type="dxa"/>
            <w:vAlign w:val="center"/>
            <w:hideMark/>
          </w:tcPr>
          <w:p w14:paraId="1041F7DF" w14:textId="401096B2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Paydaş haberleri daha düşük okunma oranına sahi</w:t>
            </w:r>
            <w:r w:rsidR="00ED2F11" w:rsidRPr="00681FF0">
              <w:rPr>
                <w:rFonts w:ascii="Times New Roman" w:hAnsi="Times New Roman" w:cs="Times New Roman"/>
                <w:sz w:val="18"/>
                <w:szCs w:val="18"/>
              </w:rPr>
              <w:t>ptir. Bunun nedeni ö</w:t>
            </w: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ğrencilerden çok yöneticilere hitap ediy</w:t>
            </w:r>
            <w:r w:rsidR="00ED2F11" w:rsidRPr="00681FF0">
              <w:rPr>
                <w:rFonts w:ascii="Times New Roman" w:hAnsi="Times New Roman" w:cs="Times New Roman"/>
                <w:sz w:val="18"/>
                <w:szCs w:val="18"/>
              </w:rPr>
              <w:t>or olması olabilir.</w:t>
            </w:r>
          </w:p>
        </w:tc>
      </w:tr>
      <w:tr w:rsidR="00ED2F11" w:rsidRPr="00681FF0" w14:paraId="52605E69" w14:textId="77777777" w:rsidTr="00681FF0">
        <w:trPr>
          <w:trHeight w:val="933"/>
          <w:tblCellSpacing w:w="15" w:type="dxa"/>
          <w:jc w:val="center"/>
        </w:trPr>
        <w:tc>
          <w:tcPr>
            <w:tcW w:w="1537" w:type="dxa"/>
            <w:vAlign w:val="center"/>
            <w:hideMark/>
          </w:tcPr>
          <w:p w14:paraId="14211A96" w14:textId="336022D7" w:rsidR="00AD2FFF" w:rsidRPr="00681FF0" w:rsidRDefault="00AD2FFF" w:rsidP="00681FF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Tanıtım ve İletişim Faaliyetleri</w:t>
            </w:r>
          </w:p>
        </w:tc>
        <w:tc>
          <w:tcPr>
            <w:tcW w:w="3182" w:type="dxa"/>
            <w:vAlign w:val="center"/>
            <w:hideMark/>
          </w:tcPr>
          <w:p w14:paraId="550596AD" w14:textId="77777777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Tercih Dönemi Tanıtım Çalışmaları, Doluluk Oranı, Gazze Etkinliği</w:t>
            </w:r>
          </w:p>
        </w:tc>
        <w:tc>
          <w:tcPr>
            <w:tcW w:w="731" w:type="dxa"/>
            <w:vAlign w:val="center"/>
            <w:hideMark/>
          </w:tcPr>
          <w:p w14:paraId="52724ECD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335</w:t>
            </w:r>
          </w:p>
        </w:tc>
        <w:tc>
          <w:tcPr>
            <w:tcW w:w="789" w:type="dxa"/>
            <w:vAlign w:val="center"/>
            <w:hideMark/>
          </w:tcPr>
          <w:p w14:paraId="0645F427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111,6</w:t>
            </w:r>
          </w:p>
        </w:tc>
        <w:tc>
          <w:tcPr>
            <w:tcW w:w="4366" w:type="dxa"/>
            <w:vAlign w:val="center"/>
            <w:hideMark/>
          </w:tcPr>
          <w:p w14:paraId="44B4424D" w14:textId="4306ED7E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Kurumsal imajı güçlendiren, duygusal ve kamuya açık içerikler yüksek okun</w:t>
            </w:r>
            <w:r w:rsidR="00ED2F11" w:rsidRPr="00681FF0">
              <w:rPr>
                <w:rFonts w:ascii="Times New Roman" w:hAnsi="Times New Roman" w:cs="Times New Roman"/>
                <w:sz w:val="18"/>
                <w:szCs w:val="18"/>
              </w:rPr>
              <w:t>ma oranına sahiptir.</w:t>
            </w:r>
          </w:p>
        </w:tc>
      </w:tr>
      <w:tr w:rsidR="00ED2F11" w:rsidRPr="00681FF0" w14:paraId="592B32F1" w14:textId="77777777" w:rsidTr="00681FF0">
        <w:trPr>
          <w:trHeight w:val="933"/>
          <w:tblCellSpacing w:w="15" w:type="dxa"/>
          <w:jc w:val="center"/>
        </w:trPr>
        <w:tc>
          <w:tcPr>
            <w:tcW w:w="1537" w:type="dxa"/>
            <w:vAlign w:val="center"/>
            <w:hideMark/>
          </w:tcPr>
          <w:p w14:paraId="5612C533" w14:textId="5501DEBF" w:rsidR="00AD2FFF" w:rsidRPr="00681FF0" w:rsidRDefault="00AD2FFF" w:rsidP="00681FF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Akademik Başarı ve Katılım</w:t>
            </w:r>
          </w:p>
        </w:tc>
        <w:tc>
          <w:tcPr>
            <w:tcW w:w="3182" w:type="dxa"/>
            <w:vAlign w:val="center"/>
            <w:hideMark/>
          </w:tcPr>
          <w:p w14:paraId="29241450" w14:textId="77777777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HAP Eğitimi, Ambulans Sürüş Eğitimi, Galip Usta’nın Editörlüğü</w:t>
            </w:r>
          </w:p>
        </w:tc>
        <w:tc>
          <w:tcPr>
            <w:tcW w:w="731" w:type="dxa"/>
            <w:vAlign w:val="center"/>
            <w:hideMark/>
          </w:tcPr>
          <w:p w14:paraId="682C1248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789" w:type="dxa"/>
            <w:vAlign w:val="center"/>
            <w:hideMark/>
          </w:tcPr>
          <w:p w14:paraId="7DC65075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4366" w:type="dxa"/>
            <w:vAlign w:val="center"/>
            <w:hideMark/>
          </w:tcPr>
          <w:p w14:paraId="3C09A5D2" w14:textId="364EFCBF" w:rsidR="00AD2FFF" w:rsidRPr="00681FF0" w:rsidRDefault="00AD2FFF" w:rsidP="00681F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FF0">
              <w:rPr>
                <w:rFonts w:ascii="Times New Roman" w:hAnsi="Times New Roman" w:cs="Times New Roman"/>
                <w:sz w:val="18"/>
                <w:szCs w:val="18"/>
              </w:rPr>
              <w:t>Akademisyenlerin başarıları daha dar bir hedef kitleye ulaşmı</w:t>
            </w:r>
            <w:r w:rsidR="00ED2F11" w:rsidRPr="00681FF0">
              <w:rPr>
                <w:rFonts w:ascii="Times New Roman" w:hAnsi="Times New Roman" w:cs="Times New Roman"/>
                <w:sz w:val="18"/>
                <w:szCs w:val="18"/>
              </w:rPr>
              <w:t>ş şeklinde yorumlanabilir.</w:t>
            </w:r>
          </w:p>
        </w:tc>
      </w:tr>
    </w:tbl>
    <w:p w14:paraId="779BFBEC" w14:textId="5643B69F" w:rsidR="00AD2FFF" w:rsidRDefault="00AD2FFF" w:rsidP="00681FF0">
      <w:pPr>
        <w:spacing w:line="360" w:lineRule="auto"/>
        <w:jc w:val="both"/>
        <w:rPr>
          <w:rFonts w:ascii="Times New Roman" w:hAnsi="Times New Roman" w:cs="Times New Roman"/>
        </w:rPr>
      </w:pPr>
      <w:r w:rsidRPr="00AD2FF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809AD14" wp14:editId="09FE0581">
            <wp:extent cx="5756910" cy="2846705"/>
            <wp:effectExtent l="19050" t="19050" r="15240" b="10795"/>
            <wp:docPr id="315110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46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D48BA7" w14:textId="449F7172" w:rsidR="00DF3341" w:rsidRPr="00DB6B2E" w:rsidRDefault="00DF3341" w:rsidP="00681FF0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B6B2E">
        <w:rPr>
          <w:rFonts w:ascii="Times New Roman" w:hAnsi="Times New Roman" w:cs="Times New Roman"/>
          <w:i/>
          <w:iCs/>
          <w:sz w:val="20"/>
          <w:szCs w:val="20"/>
        </w:rPr>
        <w:t xml:space="preserve">Grafik 1. </w:t>
      </w:r>
      <w:r w:rsidR="00086D09" w:rsidRPr="00DB6B2E">
        <w:rPr>
          <w:rFonts w:ascii="Times New Roman" w:hAnsi="Times New Roman" w:cs="Times New Roman"/>
          <w:i/>
          <w:iCs/>
          <w:sz w:val="20"/>
          <w:szCs w:val="20"/>
        </w:rPr>
        <w:t>Haberlerin Temalarına Göre Okunma Sayıları Analizi</w:t>
      </w:r>
    </w:p>
    <w:p w14:paraId="18044550" w14:textId="52D2C4EC" w:rsidR="00AD2FFF" w:rsidRPr="00681FF0" w:rsidRDefault="00DF3341" w:rsidP="00681FF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81FF0">
        <w:rPr>
          <w:rFonts w:ascii="Times New Roman" w:hAnsi="Times New Roman" w:cs="Times New Roman"/>
          <w:i/>
          <w:iCs/>
          <w:sz w:val="22"/>
          <w:szCs w:val="22"/>
        </w:rPr>
        <w:t>Tablo 2.</w:t>
      </w:r>
      <w:r w:rsidRPr="00681FF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681FF0">
        <w:rPr>
          <w:rFonts w:ascii="Times New Roman" w:hAnsi="Times New Roman" w:cs="Times New Roman"/>
          <w:i/>
          <w:iCs/>
          <w:sz w:val="22"/>
          <w:szCs w:val="22"/>
        </w:rPr>
        <w:t>Duyuruların Tematik Analizi</w:t>
      </w:r>
    </w:p>
    <w:tbl>
      <w:tblPr>
        <w:tblW w:w="1090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3894"/>
        <w:gridCol w:w="836"/>
        <w:gridCol w:w="914"/>
        <w:gridCol w:w="3767"/>
      </w:tblGrid>
      <w:tr w:rsidR="00ED2F11" w:rsidRPr="00AD2FFF" w14:paraId="183A3B61" w14:textId="77777777" w:rsidTr="00681FF0">
        <w:trPr>
          <w:trHeight w:val="547"/>
          <w:tblHeader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76E3C2CF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Tema</w:t>
            </w:r>
          </w:p>
        </w:tc>
        <w:tc>
          <w:tcPr>
            <w:tcW w:w="3939" w:type="dxa"/>
            <w:vAlign w:val="center"/>
            <w:hideMark/>
          </w:tcPr>
          <w:p w14:paraId="1AB57A9C" w14:textId="378BE1A1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Konular</w:t>
            </w:r>
          </w:p>
        </w:tc>
        <w:tc>
          <w:tcPr>
            <w:tcW w:w="769" w:type="dxa"/>
            <w:vAlign w:val="center"/>
            <w:hideMark/>
          </w:tcPr>
          <w:p w14:paraId="3F2D6C71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Toplam Okunma</w:t>
            </w:r>
          </w:p>
        </w:tc>
        <w:tc>
          <w:tcPr>
            <w:tcW w:w="872" w:type="dxa"/>
            <w:vAlign w:val="center"/>
            <w:hideMark/>
          </w:tcPr>
          <w:p w14:paraId="4CA6069D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Ortalama Okunma</w:t>
            </w:r>
          </w:p>
        </w:tc>
        <w:tc>
          <w:tcPr>
            <w:tcW w:w="3778" w:type="dxa"/>
            <w:vAlign w:val="center"/>
            <w:hideMark/>
          </w:tcPr>
          <w:p w14:paraId="18588D87" w14:textId="77777777" w:rsidR="00AD2FFF" w:rsidRPr="00681FF0" w:rsidRDefault="00AD2FFF" w:rsidP="00681F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Yorum</w:t>
            </w:r>
          </w:p>
        </w:tc>
      </w:tr>
      <w:tr w:rsidR="00ED2F11" w:rsidRPr="00AD2FFF" w14:paraId="3630DD2A" w14:textId="77777777" w:rsidTr="00681FF0">
        <w:trPr>
          <w:trHeight w:val="707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0D04A8B8" w14:textId="018DBD40" w:rsidR="00AD2FFF" w:rsidRPr="00681FF0" w:rsidRDefault="00AD2FFF" w:rsidP="00681F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 ve Öğrenci İşlemleri</w:t>
            </w:r>
          </w:p>
        </w:tc>
        <w:tc>
          <w:tcPr>
            <w:tcW w:w="3939" w:type="dxa"/>
            <w:vAlign w:val="center"/>
            <w:hideMark/>
          </w:tcPr>
          <w:p w14:paraId="06C96254" w14:textId="77777777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Kayıt Kılavuzu, Kayıt Yenileme, Ders Muafiyeti, Belge İşlemleri</w:t>
            </w:r>
          </w:p>
        </w:tc>
        <w:tc>
          <w:tcPr>
            <w:tcW w:w="769" w:type="dxa"/>
            <w:vAlign w:val="center"/>
            <w:hideMark/>
          </w:tcPr>
          <w:p w14:paraId="76CDEEEE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872" w:type="dxa"/>
            <w:vAlign w:val="center"/>
            <w:hideMark/>
          </w:tcPr>
          <w:p w14:paraId="55540610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300,5</w:t>
            </w:r>
          </w:p>
        </w:tc>
        <w:tc>
          <w:tcPr>
            <w:tcW w:w="3778" w:type="dxa"/>
            <w:vAlign w:val="center"/>
            <w:hideMark/>
          </w:tcPr>
          <w:p w14:paraId="13797958" w14:textId="0DBCA19E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 xml:space="preserve">Öğrenci yaşam döngüsüyle doğrudan ilgili </w:t>
            </w:r>
            <w:r w:rsidR="00ED2F11" w:rsidRPr="00681FF0">
              <w:rPr>
                <w:rFonts w:ascii="Times New Roman" w:hAnsi="Times New Roman" w:cs="Times New Roman"/>
                <w:sz w:val="20"/>
                <w:szCs w:val="20"/>
              </w:rPr>
              <w:t>konular yoğun şekilde ilgi görmüştür.</w:t>
            </w:r>
          </w:p>
        </w:tc>
      </w:tr>
      <w:tr w:rsidR="00ED2F11" w:rsidRPr="00AD2FFF" w14:paraId="3BCA151C" w14:textId="77777777" w:rsidTr="00681FF0">
        <w:trPr>
          <w:trHeight w:val="689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0BA176F1" w14:textId="22B9651B" w:rsidR="00AD2FFF" w:rsidRPr="00681FF0" w:rsidRDefault="00AD2FFF" w:rsidP="00681F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Kurumsal Bilgilendirmeler</w:t>
            </w:r>
          </w:p>
        </w:tc>
        <w:tc>
          <w:tcPr>
            <w:tcW w:w="3939" w:type="dxa"/>
            <w:vAlign w:val="center"/>
            <w:hideMark/>
          </w:tcPr>
          <w:p w14:paraId="4C5CB77E" w14:textId="77777777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Yemek Sistemi, ÜBYS Şifreleri, Çay–Simit Etkinliği, Yönetim–Temsilci Buluşması</w:t>
            </w:r>
          </w:p>
        </w:tc>
        <w:tc>
          <w:tcPr>
            <w:tcW w:w="769" w:type="dxa"/>
            <w:vAlign w:val="center"/>
            <w:hideMark/>
          </w:tcPr>
          <w:p w14:paraId="1BF8429A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694</w:t>
            </w:r>
          </w:p>
        </w:tc>
        <w:tc>
          <w:tcPr>
            <w:tcW w:w="872" w:type="dxa"/>
            <w:vAlign w:val="center"/>
            <w:hideMark/>
          </w:tcPr>
          <w:p w14:paraId="1E1FE204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138,8</w:t>
            </w:r>
          </w:p>
        </w:tc>
        <w:tc>
          <w:tcPr>
            <w:tcW w:w="3778" w:type="dxa"/>
            <w:vAlign w:val="center"/>
            <w:hideMark/>
          </w:tcPr>
          <w:p w14:paraId="482E85A6" w14:textId="1311A27F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Kampüs yaşamı ve günlük bilgilendirmeler</w:t>
            </w:r>
            <w:r w:rsidR="00ED2F11" w:rsidRPr="00681FF0">
              <w:rPr>
                <w:rFonts w:ascii="Times New Roman" w:hAnsi="Times New Roman" w:cs="Times New Roman"/>
                <w:sz w:val="20"/>
                <w:szCs w:val="20"/>
              </w:rPr>
              <w:t>inde dikkat çekici olduğu söylenebilir.</w:t>
            </w: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2F11" w:rsidRPr="00AD2FFF" w14:paraId="639D0366" w14:textId="77777777" w:rsidTr="00681FF0">
        <w:trPr>
          <w:trHeight w:val="707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5298AAE9" w14:textId="6CE47874" w:rsidR="00AD2FFF" w:rsidRPr="00681FF0" w:rsidRDefault="00AD2FFF" w:rsidP="00681F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ve İş İlanları</w:t>
            </w:r>
          </w:p>
        </w:tc>
        <w:tc>
          <w:tcPr>
            <w:tcW w:w="3939" w:type="dxa"/>
            <w:vAlign w:val="center"/>
            <w:hideMark/>
          </w:tcPr>
          <w:p w14:paraId="45E1A162" w14:textId="77777777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Yaz Stajı Teslimi, İŞKUR Gençlik Programı</w:t>
            </w:r>
          </w:p>
        </w:tc>
        <w:tc>
          <w:tcPr>
            <w:tcW w:w="769" w:type="dxa"/>
            <w:vAlign w:val="center"/>
            <w:hideMark/>
          </w:tcPr>
          <w:p w14:paraId="7BF9064A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548</w:t>
            </w:r>
          </w:p>
        </w:tc>
        <w:tc>
          <w:tcPr>
            <w:tcW w:w="872" w:type="dxa"/>
            <w:vAlign w:val="center"/>
            <w:hideMark/>
          </w:tcPr>
          <w:p w14:paraId="1B732EFC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274,0</w:t>
            </w:r>
          </w:p>
        </w:tc>
        <w:tc>
          <w:tcPr>
            <w:tcW w:w="3778" w:type="dxa"/>
            <w:vAlign w:val="center"/>
            <w:hideMark/>
          </w:tcPr>
          <w:p w14:paraId="2CDE34D1" w14:textId="5AD2E676" w:rsidR="00AD2FFF" w:rsidRPr="00681FF0" w:rsidRDefault="00ED2F11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Öğrencilerin eğitim süreçlerine ilişkin konular yoğun şekilde ilgi görmüştür.</w:t>
            </w:r>
          </w:p>
        </w:tc>
      </w:tr>
      <w:tr w:rsidR="00ED2F11" w:rsidRPr="00AD2FFF" w14:paraId="0F6CF8E7" w14:textId="77777777" w:rsidTr="00681FF0">
        <w:trPr>
          <w:trHeight w:val="707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19985937" w14:textId="296DCD61" w:rsidR="00AD2FFF" w:rsidRPr="00681FF0" w:rsidRDefault="00AD2FFF" w:rsidP="00681F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 / Sınav Duyuruları</w:t>
            </w:r>
          </w:p>
        </w:tc>
        <w:tc>
          <w:tcPr>
            <w:tcW w:w="3939" w:type="dxa"/>
            <w:vAlign w:val="center"/>
            <w:hideMark/>
          </w:tcPr>
          <w:p w14:paraId="04A361CF" w14:textId="77777777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Yabancı Dil Sınavı, Yoğun Bakım Hemşiresi Eğitimi</w:t>
            </w:r>
          </w:p>
        </w:tc>
        <w:tc>
          <w:tcPr>
            <w:tcW w:w="769" w:type="dxa"/>
            <w:vAlign w:val="center"/>
            <w:hideMark/>
          </w:tcPr>
          <w:p w14:paraId="0AEBF8FA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872" w:type="dxa"/>
            <w:vAlign w:val="center"/>
            <w:hideMark/>
          </w:tcPr>
          <w:p w14:paraId="19BB39D5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110,5</w:t>
            </w:r>
          </w:p>
        </w:tc>
        <w:tc>
          <w:tcPr>
            <w:tcW w:w="3778" w:type="dxa"/>
            <w:vAlign w:val="center"/>
            <w:hideMark/>
          </w:tcPr>
          <w:p w14:paraId="3EA65DE5" w14:textId="0BFD996C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 xml:space="preserve">Akademik eğitim ve sınav duyuruları orta </w:t>
            </w:r>
            <w:r w:rsidR="00ED2F11" w:rsidRPr="00681FF0">
              <w:rPr>
                <w:rFonts w:ascii="Times New Roman" w:hAnsi="Times New Roman" w:cs="Times New Roman"/>
                <w:sz w:val="20"/>
                <w:szCs w:val="20"/>
              </w:rPr>
              <w:t>düzeyde okunduğu söylenebilir.</w:t>
            </w:r>
          </w:p>
        </w:tc>
      </w:tr>
      <w:tr w:rsidR="00ED2F11" w:rsidRPr="00AD2FFF" w14:paraId="1C2A2712" w14:textId="77777777" w:rsidTr="00681FF0">
        <w:trPr>
          <w:trHeight w:val="707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6295802C" w14:textId="0B9D86F9" w:rsidR="00AD2FFF" w:rsidRPr="00681FF0" w:rsidRDefault="00AD2FFF" w:rsidP="00681F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Burs ve Destek Programları</w:t>
            </w:r>
          </w:p>
        </w:tc>
        <w:tc>
          <w:tcPr>
            <w:tcW w:w="3939" w:type="dxa"/>
            <w:vAlign w:val="center"/>
            <w:hideMark/>
          </w:tcPr>
          <w:p w14:paraId="1C62F20D" w14:textId="77777777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Teknoloji Bursu, Bilgilendirme Sayfası</w:t>
            </w:r>
          </w:p>
        </w:tc>
        <w:tc>
          <w:tcPr>
            <w:tcW w:w="769" w:type="dxa"/>
            <w:vAlign w:val="center"/>
            <w:hideMark/>
          </w:tcPr>
          <w:p w14:paraId="1AEC9CF0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872" w:type="dxa"/>
            <w:vAlign w:val="center"/>
            <w:hideMark/>
          </w:tcPr>
          <w:p w14:paraId="024D7038" w14:textId="77777777" w:rsidR="00AD2FFF" w:rsidRPr="00681FF0" w:rsidRDefault="00AD2FFF" w:rsidP="00681F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252,0</w:t>
            </w:r>
          </w:p>
        </w:tc>
        <w:tc>
          <w:tcPr>
            <w:tcW w:w="3778" w:type="dxa"/>
            <w:vAlign w:val="center"/>
            <w:hideMark/>
          </w:tcPr>
          <w:p w14:paraId="6FD6BD54" w14:textId="7590666B" w:rsidR="00AD2FFF" w:rsidRPr="00681FF0" w:rsidRDefault="00AD2FFF" w:rsidP="00681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F0">
              <w:rPr>
                <w:rFonts w:ascii="Times New Roman" w:hAnsi="Times New Roman" w:cs="Times New Roman"/>
                <w:sz w:val="20"/>
                <w:szCs w:val="20"/>
              </w:rPr>
              <w:t>Ekonomik fırsatlarla ilgili duyurular güçlü bir okuma oranına sahip</w:t>
            </w:r>
            <w:r w:rsidR="00ED2F11" w:rsidRPr="00681FF0">
              <w:rPr>
                <w:rFonts w:ascii="Times New Roman" w:hAnsi="Times New Roman" w:cs="Times New Roman"/>
                <w:sz w:val="20"/>
                <w:szCs w:val="20"/>
              </w:rPr>
              <w:t>tir.</w:t>
            </w:r>
          </w:p>
        </w:tc>
      </w:tr>
    </w:tbl>
    <w:p w14:paraId="7CFC442A" w14:textId="04C10FD5" w:rsidR="00AD2FFF" w:rsidRDefault="00AD2FFF" w:rsidP="00DB6B2E">
      <w:pPr>
        <w:spacing w:line="360" w:lineRule="auto"/>
        <w:jc w:val="center"/>
        <w:rPr>
          <w:rFonts w:ascii="Times New Roman" w:hAnsi="Times New Roman" w:cs="Times New Roman"/>
        </w:rPr>
      </w:pPr>
      <w:r w:rsidRPr="00AD2FF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CD2D52E" wp14:editId="4FFF2367">
            <wp:extent cx="5756910" cy="2846705"/>
            <wp:effectExtent l="19050" t="19050" r="15240" b="10795"/>
            <wp:docPr id="183504207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46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9F6258" w14:textId="3BAB9BD1" w:rsidR="00086D09" w:rsidRPr="00DB6B2E" w:rsidRDefault="00086D09" w:rsidP="00DB6B2E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B6B2E">
        <w:rPr>
          <w:rFonts w:ascii="Times New Roman" w:hAnsi="Times New Roman" w:cs="Times New Roman"/>
          <w:i/>
          <w:iCs/>
          <w:sz w:val="20"/>
          <w:szCs w:val="20"/>
        </w:rPr>
        <w:t>Grafik 1. Duyuruların Temalarına Göre Okunma Sayıları Analizi</w:t>
      </w:r>
    </w:p>
    <w:p w14:paraId="396D1B3F" w14:textId="37B4CE07" w:rsidR="00086D09" w:rsidRPr="00086D09" w:rsidRDefault="00086D09" w:rsidP="00681F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86D09">
        <w:rPr>
          <w:rFonts w:ascii="Times New Roman" w:hAnsi="Times New Roman" w:cs="Times New Roman"/>
          <w:b/>
          <w:bCs/>
        </w:rPr>
        <w:t>Sonuç ve Öneriler</w:t>
      </w:r>
    </w:p>
    <w:p w14:paraId="25F9863C" w14:textId="2D0597D2" w:rsidR="00086D09" w:rsidRPr="00AD2FFF" w:rsidRDefault="00086D09" w:rsidP="0068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6D09">
        <w:rPr>
          <w:rFonts w:ascii="Times New Roman" w:hAnsi="Times New Roman" w:cs="Times New Roman"/>
        </w:rPr>
        <w:t>Haber içeriklerinde öğrenci etkinlikleri, tanıtım faaliyetleri ve kurumsal başarı</w:t>
      </w:r>
      <w:r w:rsidR="00E7530D">
        <w:rPr>
          <w:rFonts w:ascii="Times New Roman" w:hAnsi="Times New Roman" w:cs="Times New Roman"/>
        </w:rPr>
        <w:t>ya odaklanan</w:t>
      </w:r>
      <w:r w:rsidRPr="00086D09">
        <w:rPr>
          <w:rFonts w:ascii="Times New Roman" w:hAnsi="Times New Roman" w:cs="Times New Roman"/>
        </w:rPr>
        <w:t xml:space="preserve"> temaların öne çıktığı belirlenmiştir. Duyurularda ise kayıt</w:t>
      </w:r>
      <w:r w:rsidR="00E7530D">
        <w:rPr>
          <w:rFonts w:ascii="Times New Roman" w:hAnsi="Times New Roman" w:cs="Times New Roman"/>
        </w:rPr>
        <w:t xml:space="preserve"> süreci</w:t>
      </w:r>
      <w:r w:rsidRPr="00086D09">
        <w:rPr>
          <w:rFonts w:ascii="Times New Roman" w:hAnsi="Times New Roman" w:cs="Times New Roman"/>
        </w:rPr>
        <w:t>, belge</w:t>
      </w:r>
      <w:r w:rsidR="00E7530D">
        <w:rPr>
          <w:rFonts w:ascii="Times New Roman" w:hAnsi="Times New Roman" w:cs="Times New Roman"/>
        </w:rPr>
        <w:t xml:space="preserve"> talebi</w:t>
      </w:r>
      <w:r w:rsidRPr="00086D09">
        <w:rPr>
          <w:rFonts w:ascii="Times New Roman" w:hAnsi="Times New Roman" w:cs="Times New Roman"/>
        </w:rPr>
        <w:t>, staj ve sınav</w:t>
      </w:r>
      <w:r w:rsidR="00E7530D">
        <w:rPr>
          <w:rFonts w:ascii="Times New Roman" w:hAnsi="Times New Roman" w:cs="Times New Roman"/>
        </w:rPr>
        <w:t xml:space="preserve"> işlemleri</w:t>
      </w:r>
      <w:r w:rsidRPr="00086D09">
        <w:rPr>
          <w:rFonts w:ascii="Times New Roman" w:hAnsi="Times New Roman" w:cs="Times New Roman"/>
        </w:rPr>
        <w:t xml:space="preserve"> gibi işlemsel konular</w:t>
      </w:r>
      <w:r w:rsidR="00E7530D">
        <w:rPr>
          <w:rFonts w:ascii="Times New Roman" w:hAnsi="Times New Roman" w:cs="Times New Roman"/>
        </w:rPr>
        <w:t>ın daha fazla okunduğu</w:t>
      </w:r>
      <w:r w:rsidRPr="00086D09">
        <w:rPr>
          <w:rFonts w:ascii="Times New Roman" w:hAnsi="Times New Roman" w:cs="Times New Roman"/>
        </w:rPr>
        <w:t xml:space="preserve"> görmüştür.</w:t>
      </w:r>
      <w:r>
        <w:rPr>
          <w:rFonts w:ascii="Times New Roman" w:hAnsi="Times New Roman" w:cs="Times New Roman"/>
        </w:rPr>
        <w:t xml:space="preserve"> </w:t>
      </w:r>
      <w:r w:rsidR="00E7530D" w:rsidRPr="00E7530D">
        <w:rPr>
          <w:rFonts w:ascii="Times New Roman" w:hAnsi="Times New Roman" w:cs="Times New Roman"/>
        </w:rPr>
        <w:t>Web sitesi içerik stratejisinde, haber paylaşımlarında öğrenci etkinlikleri ve kurumsal başarı</w:t>
      </w:r>
      <w:r w:rsidR="00E7530D">
        <w:rPr>
          <w:rFonts w:ascii="Times New Roman" w:hAnsi="Times New Roman" w:cs="Times New Roman"/>
        </w:rPr>
        <w:t>ya odaklanan</w:t>
      </w:r>
      <w:r w:rsidR="00E7530D" w:rsidRPr="00E7530D">
        <w:rPr>
          <w:rFonts w:ascii="Times New Roman" w:hAnsi="Times New Roman" w:cs="Times New Roman"/>
        </w:rPr>
        <w:t xml:space="preserve"> temalar</w:t>
      </w:r>
      <w:r w:rsidR="00E7530D">
        <w:rPr>
          <w:rFonts w:ascii="Times New Roman" w:hAnsi="Times New Roman" w:cs="Times New Roman"/>
        </w:rPr>
        <w:t>a</w:t>
      </w:r>
      <w:r w:rsidR="00E7530D" w:rsidRPr="00E7530D">
        <w:rPr>
          <w:rFonts w:ascii="Times New Roman" w:hAnsi="Times New Roman" w:cs="Times New Roman"/>
        </w:rPr>
        <w:t xml:space="preserve"> öncelik verilmesi</w:t>
      </w:r>
      <w:r w:rsidR="00E7530D">
        <w:rPr>
          <w:rFonts w:ascii="Times New Roman" w:hAnsi="Times New Roman" w:cs="Times New Roman"/>
        </w:rPr>
        <w:t xml:space="preserve"> önerilmektedir. Ayrıca </w:t>
      </w:r>
      <w:r w:rsidR="00E7530D" w:rsidRPr="00E7530D">
        <w:rPr>
          <w:rFonts w:ascii="Times New Roman" w:hAnsi="Times New Roman" w:cs="Times New Roman"/>
        </w:rPr>
        <w:t xml:space="preserve">bu içeriklerin görseller, kısa videolar veya öğrenci görüşleriyle desteklenmesi </w:t>
      </w:r>
      <w:r w:rsidR="00E7530D">
        <w:rPr>
          <w:rFonts w:ascii="Times New Roman" w:hAnsi="Times New Roman" w:cs="Times New Roman"/>
        </w:rPr>
        <w:t>sağlanabilir.</w:t>
      </w:r>
      <w:r w:rsidR="00E7530D" w:rsidRPr="00E7530D">
        <w:rPr>
          <w:rFonts w:ascii="Times New Roman" w:hAnsi="Times New Roman" w:cs="Times New Roman"/>
        </w:rPr>
        <w:t xml:space="preserve"> Duyurular ise kullanıcıların işlem odaklı bilgi arayışına yanıt verecek biçimde sade, erişilebilir ve işlevsel</w:t>
      </w:r>
      <w:r w:rsidR="00E7530D">
        <w:rPr>
          <w:rFonts w:ascii="Times New Roman" w:hAnsi="Times New Roman" w:cs="Times New Roman"/>
        </w:rPr>
        <w:t xml:space="preserve"> içeriklerle desteklenmesi önerilmektedir.</w:t>
      </w:r>
      <w:r w:rsidRPr="00086D09">
        <w:rPr>
          <w:rFonts w:ascii="Times New Roman" w:hAnsi="Times New Roman" w:cs="Times New Roman"/>
        </w:rPr>
        <w:t xml:space="preserve"> </w:t>
      </w:r>
      <w:r w:rsidR="00E7530D">
        <w:rPr>
          <w:rFonts w:ascii="Times New Roman" w:hAnsi="Times New Roman" w:cs="Times New Roman"/>
        </w:rPr>
        <w:t>T</w:t>
      </w:r>
      <w:r w:rsidRPr="00086D09">
        <w:rPr>
          <w:rFonts w:ascii="Times New Roman" w:hAnsi="Times New Roman" w:cs="Times New Roman"/>
        </w:rPr>
        <w:t>ema bazlı düzenli okunma analizlerinin yapılması</w:t>
      </w:r>
      <w:r>
        <w:rPr>
          <w:rFonts w:ascii="Times New Roman" w:hAnsi="Times New Roman" w:cs="Times New Roman"/>
        </w:rPr>
        <w:t>nın</w:t>
      </w:r>
      <w:r w:rsidRPr="00086D09">
        <w:rPr>
          <w:rFonts w:ascii="Times New Roman" w:hAnsi="Times New Roman" w:cs="Times New Roman"/>
        </w:rPr>
        <w:t xml:space="preserve"> içerik planlamasın</w:t>
      </w:r>
      <w:r>
        <w:rPr>
          <w:rFonts w:ascii="Times New Roman" w:hAnsi="Times New Roman" w:cs="Times New Roman"/>
        </w:rPr>
        <w:t>a katkı sunacağı söylenebilir.</w:t>
      </w:r>
    </w:p>
    <w:sectPr w:rsidR="00086D09" w:rsidRPr="00AD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F"/>
    <w:rsid w:val="00086D09"/>
    <w:rsid w:val="002B0599"/>
    <w:rsid w:val="00681FF0"/>
    <w:rsid w:val="007B009C"/>
    <w:rsid w:val="00AB5598"/>
    <w:rsid w:val="00AD2FFF"/>
    <w:rsid w:val="00DB6B2E"/>
    <w:rsid w:val="00DF3341"/>
    <w:rsid w:val="00E7530D"/>
    <w:rsid w:val="00ED2F11"/>
    <w:rsid w:val="00E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01B8"/>
  <w15:chartTrackingRefBased/>
  <w15:docId w15:val="{EAF7EAD0-F776-46AF-AA7D-AFF71514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09"/>
  </w:style>
  <w:style w:type="paragraph" w:styleId="Balk1">
    <w:name w:val="heading 1"/>
    <w:basedOn w:val="Normal"/>
    <w:next w:val="Normal"/>
    <w:link w:val="Balk1Char"/>
    <w:uiPriority w:val="9"/>
    <w:qFormat/>
    <w:rsid w:val="00AD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2F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2F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2F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2F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2F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2F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2F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2F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2F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2F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2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BAYRAM DÜNDAR</cp:lastModifiedBy>
  <cp:revision>4</cp:revision>
  <dcterms:created xsi:type="dcterms:W3CDTF">2025-10-26T12:59:00Z</dcterms:created>
  <dcterms:modified xsi:type="dcterms:W3CDTF">2025-10-28T16:56:00Z</dcterms:modified>
</cp:coreProperties>
</file>