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771"/>
        <w:gridCol w:w="1162"/>
        <w:gridCol w:w="1355"/>
      </w:tblGrid>
      <w:tr w:rsidR="00B83086" w14:paraId="5F1B7655" w14:textId="77777777" w:rsidTr="00D90846">
        <w:tc>
          <w:tcPr>
            <w:tcW w:w="9288" w:type="dxa"/>
            <w:gridSpan w:val="3"/>
          </w:tcPr>
          <w:p w14:paraId="6B8F9888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Pr="00E55356">
              <w:rPr>
                <w:b/>
                <w:bCs/>
              </w:rPr>
              <w:t>ÜNİVERSİTESİ</w:t>
            </w:r>
          </w:p>
          <w:p w14:paraId="7EDB8D9E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0C79EE3B" w14:textId="28D244E5" w:rsidR="00B8308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 PROGRAMI</w:t>
            </w:r>
          </w:p>
          <w:p w14:paraId="72E385B7" w14:textId="72BF456D" w:rsidR="00B83086" w:rsidRPr="00E55356" w:rsidRDefault="000E5CCF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DERİN SOLUNUM EGZERSİ</w:t>
            </w:r>
            <w:r w:rsidR="00647B23">
              <w:rPr>
                <w:b/>
                <w:bCs/>
              </w:rPr>
              <w:t>Z</w:t>
            </w:r>
            <w:r>
              <w:rPr>
                <w:b/>
                <w:bCs/>
              </w:rPr>
              <w:t xml:space="preserve">İ VE ÖKSÜRÜK EGZERSİZİ </w:t>
            </w:r>
            <w:r w:rsidR="00B83086">
              <w:rPr>
                <w:b/>
                <w:bCs/>
              </w:rPr>
              <w:t xml:space="preserve">UYGULAMASI </w:t>
            </w:r>
            <w:r w:rsidR="00B83086" w:rsidRPr="00E55356">
              <w:rPr>
                <w:b/>
                <w:bCs/>
              </w:rPr>
              <w:t>DEĞERLENDİRME FORMU</w:t>
            </w:r>
          </w:p>
          <w:p w14:paraId="1D8DB37F" w14:textId="77777777" w:rsidR="00B83086" w:rsidRPr="00E5535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</w:t>
            </w:r>
            <w:proofErr w:type="gramStart"/>
            <w:r>
              <w:rPr>
                <w:b/>
                <w:bCs/>
              </w:rPr>
              <w:t xml:space="preserve">Tarih:   </w:t>
            </w:r>
            <w:proofErr w:type="gramEnd"/>
            <w:r>
              <w:rPr>
                <w:b/>
                <w:bCs/>
              </w:rPr>
              <w:t xml:space="preserve">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602BC5E8" w14:textId="77777777" w:rsidR="00B8308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0A544D05" w14:textId="77777777" w:rsidR="00B83086" w:rsidRPr="004D5A46" w:rsidRDefault="00B83086" w:rsidP="0002032D">
            <w:pPr>
              <w:pStyle w:val="stBilgi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Numarası:   </w:t>
            </w:r>
            <w:proofErr w:type="gramEnd"/>
            <w:r>
              <w:rPr>
                <w:b/>
                <w:bCs/>
              </w:rPr>
              <w:t xml:space="preserve">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B83086" w14:paraId="3D20601C" w14:textId="77777777" w:rsidTr="00D90846">
        <w:trPr>
          <w:trHeight w:val="521"/>
        </w:trPr>
        <w:tc>
          <w:tcPr>
            <w:tcW w:w="9288" w:type="dxa"/>
            <w:gridSpan w:val="3"/>
          </w:tcPr>
          <w:p w14:paraId="3B977997" w14:textId="11CE818D" w:rsidR="00B83086" w:rsidRPr="00F637C3" w:rsidRDefault="00B83086" w:rsidP="000E5CCF">
            <w:pPr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amacı:</w:t>
            </w:r>
            <w:r w:rsidRPr="00F637C3">
              <w:rPr>
                <w:rFonts w:cstheme="minorHAnsi"/>
              </w:rPr>
              <w:t xml:space="preserve"> </w:t>
            </w:r>
            <w:r w:rsidR="000E5CCF" w:rsidRPr="000E5CCF">
              <w:rPr>
                <w:rFonts w:cstheme="minorHAnsi"/>
              </w:rPr>
              <w:t xml:space="preserve">Egzersiz, bronşiyal hijyeni sağlama ve </w:t>
            </w:r>
            <w:proofErr w:type="spellStart"/>
            <w:r w:rsidR="000E5CCF" w:rsidRPr="000E5CCF">
              <w:rPr>
                <w:rFonts w:cstheme="minorHAnsi"/>
              </w:rPr>
              <w:t>dispneyi</w:t>
            </w:r>
            <w:proofErr w:type="spellEnd"/>
            <w:r w:rsidR="000E5CCF" w:rsidRPr="000E5CCF">
              <w:rPr>
                <w:rFonts w:cstheme="minorHAnsi"/>
              </w:rPr>
              <w:t xml:space="preserve"> rahatlatmada etkilidir</w:t>
            </w:r>
          </w:p>
        </w:tc>
      </w:tr>
      <w:tr w:rsidR="00B83086" w14:paraId="7D5AA05F" w14:textId="77777777" w:rsidTr="00D90846">
        <w:tc>
          <w:tcPr>
            <w:tcW w:w="9288" w:type="dxa"/>
            <w:gridSpan w:val="3"/>
          </w:tcPr>
          <w:p w14:paraId="1E13EC3D" w14:textId="20B907ED" w:rsidR="00D90846" w:rsidRPr="00F637C3" w:rsidRDefault="00B83086" w:rsidP="000E5CCF">
            <w:pPr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kapsamı:</w:t>
            </w:r>
            <w:r w:rsidRPr="00F637C3">
              <w:rPr>
                <w:rFonts w:cstheme="minorHAnsi"/>
              </w:rPr>
              <w:t xml:space="preserve"> </w:t>
            </w:r>
            <w:r w:rsidR="000E5CCF" w:rsidRPr="000E5CCF">
              <w:rPr>
                <w:rFonts w:cstheme="minorHAnsi"/>
              </w:rPr>
              <w:t>Diyafram solunumunda amaç, inspirasyon sırasında diyafragmanın aşağı inmesini, ekspirasyon</w:t>
            </w:r>
            <w:r w:rsidR="000E5CCF">
              <w:rPr>
                <w:rFonts w:cstheme="minorHAnsi"/>
              </w:rPr>
              <w:t xml:space="preserve"> </w:t>
            </w:r>
            <w:r w:rsidR="000E5CCF" w:rsidRPr="000E5CCF">
              <w:rPr>
                <w:rFonts w:cstheme="minorHAnsi"/>
              </w:rPr>
              <w:t>sırasında yukarı çıkmasını sağlayarak diyaframı kullanmak ve kuvvetlendirmektir.</w:t>
            </w:r>
            <w:r w:rsidR="000E5CCF" w:rsidRPr="000E5CCF"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 w:rsidR="000E5CCF" w:rsidRPr="000E5CCF">
              <w:rPr>
                <w:rFonts w:cstheme="minorHAnsi"/>
              </w:rPr>
              <w:t>Hava yollarını temizleyen en etkili mekanizma öksürüktür. Bu sebeple hastaya etkin</w:t>
            </w:r>
            <w:r w:rsidR="000E5CCF">
              <w:rPr>
                <w:rFonts w:cstheme="minorHAnsi"/>
              </w:rPr>
              <w:t xml:space="preserve"> </w:t>
            </w:r>
            <w:r w:rsidR="000E5CCF" w:rsidRPr="000E5CCF">
              <w:rPr>
                <w:rFonts w:cstheme="minorHAnsi"/>
              </w:rPr>
              <w:t>öksürme tekniklerinin öğretilmesinin hava yollarının açıklığını sağlamada önemli yeri</w:t>
            </w:r>
            <w:r w:rsidR="000E5CCF">
              <w:rPr>
                <w:rFonts w:cstheme="minorHAnsi"/>
              </w:rPr>
              <w:t xml:space="preserve"> </w:t>
            </w:r>
            <w:r w:rsidR="000E5CCF" w:rsidRPr="000E5CCF">
              <w:rPr>
                <w:rFonts w:cstheme="minorHAnsi"/>
              </w:rPr>
              <w:t>vardır.</w:t>
            </w:r>
          </w:p>
        </w:tc>
      </w:tr>
      <w:tr w:rsidR="00B83086" w14:paraId="35336A8F" w14:textId="77777777" w:rsidTr="00D90846">
        <w:tc>
          <w:tcPr>
            <w:tcW w:w="9288" w:type="dxa"/>
            <w:gridSpan w:val="3"/>
          </w:tcPr>
          <w:p w14:paraId="1C0F86D4" w14:textId="520BCC82" w:rsidR="00B83086" w:rsidRPr="00F637C3" w:rsidRDefault="00B83086" w:rsidP="00D90846">
            <w:pPr>
              <w:jc w:val="both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Dikkat Edilmesi Gereken Hususlar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04"/>
            </w:tblGrid>
            <w:tr w:rsidR="00B83086" w:rsidRPr="00F637C3" w14:paraId="7F96AF26" w14:textId="77777777" w:rsidTr="0002032D">
              <w:trPr>
                <w:trHeight w:val="1996"/>
              </w:trPr>
              <w:tc>
                <w:tcPr>
                  <w:tcW w:w="8704" w:type="dxa"/>
                </w:tcPr>
                <w:p w14:paraId="10FD5667" w14:textId="048465FF" w:rsidR="000E5CCF" w:rsidRPr="000E5CCF" w:rsidRDefault="00D90846" w:rsidP="000E5CCF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D90846">
                    <w:rPr>
                      <w:rFonts w:cstheme="minorHAnsi"/>
                    </w:rPr>
                    <w:t xml:space="preserve"> </w:t>
                  </w:r>
                  <w:r w:rsidR="000E5CCF" w:rsidRPr="000E5CCF">
                    <w:rPr>
                      <w:rFonts w:cstheme="minorHAnsi"/>
                    </w:rPr>
                    <w:t>Genel olarak solunum egzersizlerinde yavaş yavaş ve ritmik olarak nefes alınır,</w:t>
                  </w:r>
                  <w:r w:rsidR="000E5CCF">
                    <w:rPr>
                      <w:rFonts w:cstheme="minorHAnsi"/>
                    </w:rPr>
                    <w:t xml:space="preserve"> </w:t>
                  </w:r>
                  <w:r w:rsidR="000E5CCF" w:rsidRPr="000E5CCF">
                    <w:rPr>
                      <w:rFonts w:cstheme="minorHAnsi"/>
                    </w:rPr>
                    <w:t>akciğerler tamamen boşaltılır. Solunan havanın filtre olup ve ısınabilmesi için burundan nefes alınır, kişi kendini soluksuz hissederse daha yavaş nefes alır, uzun sürede nefes</w:t>
                  </w:r>
                  <w:r w:rsidR="000E5CCF">
                    <w:rPr>
                      <w:rFonts w:cstheme="minorHAnsi"/>
                    </w:rPr>
                    <w:t xml:space="preserve"> </w:t>
                  </w:r>
                  <w:r w:rsidR="000E5CCF" w:rsidRPr="000E5CCF">
                    <w:rPr>
                      <w:rFonts w:cstheme="minorHAnsi"/>
                    </w:rPr>
                    <w:t>verir.</w:t>
                  </w:r>
                </w:p>
                <w:p w14:paraId="2AD44320" w14:textId="77777777" w:rsidR="00D90846" w:rsidRDefault="000E5CCF" w:rsidP="000E5CCF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0E5CCF">
                    <w:rPr>
                      <w:rFonts w:cstheme="minorHAnsi"/>
                    </w:rPr>
                    <w:t xml:space="preserve">Bu egzersizler aynı zamanda hastanın gevşemesine, </w:t>
                  </w:r>
                  <w:proofErr w:type="spellStart"/>
                  <w:r w:rsidRPr="000E5CCF">
                    <w:rPr>
                      <w:rFonts w:cstheme="minorHAnsi"/>
                    </w:rPr>
                    <w:t>dispne</w:t>
                  </w:r>
                  <w:proofErr w:type="spellEnd"/>
                  <w:r w:rsidRPr="000E5CCF">
                    <w:rPr>
                      <w:rFonts w:cstheme="minorHAnsi"/>
                    </w:rPr>
                    <w:t xml:space="preserve"> ve panik duygularını kontrol etmesine yardımcı olmaktadır.</w:t>
                  </w:r>
                </w:p>
                <w:p w14:paraId="51748ECA" w14:textId="237DDAAF" w:rsidR="000E5CCF" w:rsidRPr="000E5CCF" w:rsidRDefault="000E5CCF" w:rsidP="000E5CCF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</w:rPr>
                  </w:pPr>
                  <w:r w:rsidRPr="000E5CCF">
                    <w:rPr>
                      <w:rFonts w:cstheme="minorHAnsi"/>
                    </w:rPr>
                    <w:t>Hastaya eğitim verilirken; birkaç kez derin soluk alıp vermesi, son alınan nefesin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0E5CCF">
                    <w:rPr>
                      <w:rFonts w:cstheme="minorHAnsi"/>
                    </w:rPr>
                    <w:t>birkaç saniye tutularak tekrar nefes almadan önce akciğerlerinde hava kalmadığını hissedinceye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0E5CCF">
                    <w:rPr>
                      <w:rFonts w:cstheme="minorHAnsi"/>
                    </w:rPr>
                    <w:t>kadar öksürmesi gerektiği anlatılır.</w:t>
                  </w:r>
                </w:p>
              </w:tc>
            </w:tr>
          </w:tbl>
          <w:p w14:paraId="52CA47DA" w14:textId="77777777" w:rsidR="00B83086" w:rsidRPr="00F637C3" w:rsidRDefault="00B83086" w:rsidP="0002032D">
            <w:pPr>
              <w:jc w:val="both"/>
              <w:rPr>
                <w:rFonts w:cstheme="minorHAnsi"/>
              </w:rPr>
            </w:pPr>
          </w:p>
        </w:tc>
      </w:tr>
      <w:tr w:rsidR="00B83086" w14:paraId="3C7615AC" w14:textId="77777777" w:rsidTr="000E5CCF">
        <w:trPr>
          <w:trHeight w:val="20"/>
        </w:trPr>
        <w:tc>
          <w:tcPr>
            <w:tcW w:w="6771" w:type="dxa"/>
          </w:tcPr>
          <w:p w14:paraId="108BCD2A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162" w:type="dxa"/>
          </w:tcPr>
          <w:p w14:paraId="5E4A763C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Uyguladı</w:t>
            </w:r>
          </w:p>
        </w:tc>
        <w:tc>
          <w:tcPr>
            <w:tcW w:w="1355" w:type="dxa"/>
          </w:tcPr>
          <w:p w14:paraId="69A6BB8E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Uygulamadı</w:t>
            </w:r>
          </w:p>
        </w:tc>
      </w:tr>
      <w:tr w:rsidR="00B83086" w14:paraId="496E7685" w14:textId="77777777" w:rsidTr="000E5CCF">
        <w:trPr>
          <w:trHeight w:val="20"/>
        </w:trPr>
        <w:tc>
          <w:tcPr>
            <w:tcW w:w="6771" w:type="dxa"/>
          </w:tcPr>
          <w:p w14:paraId="192A2E38" w14:textId="3193782A" w:rsidR="00B83086" w:rsidRPr="00F637C3" w:rsidRDefault="000E5CCF" w:rsidP="000E5CCF">
            <w:pPr>
              <w:rPr>
                <w:rFonts w:cstheme="minorHAnsi"/>
              </w:rPr>
            </w:pPr>
            <w:r w:rsidRPr="000E5CCF">
              <w:rPr>
                <w:rFonts w:cstheme="minorHAnsi"/>
              </w:rPr>
              <w:t>1. Sırt üstü düz yatar pozisyonda ya da yarı oturur pozisyonda durunuz.</w:t>
            </w:r>
          </w:p>
        </w:tc>
        <w:tc>
          <w:tcPr>
            <w:tcW w:w="1162" w:type="dxa"/>
          </w:tcPr>
          <w:p w14:paraId="023BDFCE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4E05A3EC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18F71513" w14:textId="77777777" w:rsidTr="000E5CCF">
        <w:trPr>
          <w:trHeight w:val="20"/>
        </w:trPr>
        <w:tc>
          <w:tcPr>
            <w:tcW w:w="6771" w:type="dxa"/>
          </w:tcPr>
          <w:p w14:paraId="2DC5985F" w14:textId="28094621" w:rsidR="00B83086" w:rsidRPr="00F637C3" w:rsidRDefault="000E5CCF" w:rsidP="000E5CCF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0E5CCF">
              <w:rPr>
                <w:rFonts w:cstheme="minorHAnsi"/>
              </w:rPr>
              <w:t>Bir eliniz göğsünüzde, diğer eliniz karnınızın üstünde olacak şekilde koyunuz.</w:t>
            </w:r>
          </w:p>
        </w:tc>
        <w:tc>
          <w:tcPr>
            <w:tcW w:w="1162" w:type="dxa"/>
          </w:tcPr>
          <w:p w14:paraId="10733601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2EEB6E66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2228DCEA" w14:textId="77777777" w:rsidTr="000E5CCF">
        <w:trPr>
          <w:trHeight w:val="20"/>
        </w:trPr>
        <w:tc>
          <w:tcPr>
            <w:tcW w:w="6771" w:type="dxa"/>
          </w:tcPr>
          <w:p w14:paraId="59F04175" w14:textId="6B872125" w:rsidR="00B83086" w:rsidRPr="00F637C3" w:rsidRDefault="000E5CCF" w:rsidP="000E5CCF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 w:rsidRPr="000E5CCF"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 w:rsidRPr="000E5CCF">
              <w:rPr>
                <w:rFonts w:cstheme="minorHAnsi"/>
              </w:rPr>
              <w:t>Burnunuzdan olabildiğince fazla miktarda havayı akciğerlerinize çekmeye çalışarak</w:t>
            </w:r>
            <w:r>
              <w:rPr>
                <w:rFonts w:cstheme="minorHAnsi"/>
              </w:rPr>
              <w:t xml:space="preserve"> </w:t>
            </w:r>
            <w:r w:rsidRPr="000E5CCF">
              <w:rPr>
                <w:rFonts w:cstheme="minorHAnsi"/>
              </w:rPr>
              <w:t>yavaşça nefes alırken karnınızın yavaşça yükseldiğini hissetmeye çalışın. Bu sırada</w:t>
            </w:r>
            <w:r>
              <w:rPr>
                <w:rFonts w:cstheme="minorHAnsi"/>
              </w:rPr>
              <w:t xml:space="preserve"> </w:t>
            </w:r>
            <w:r w:rsidRPr="000E5CCF">
              <w:rPr>
                <w:rFonts w:cstheme="minorHAnsi"/>
              </w:rPr>
              <w:t>göğsünüzün üzerinde olan elin hareketi minimal olmalıdır.</w:t>
            </w:r>
          </w:p>
        </w:tc>
        <w:tc>
          <w:tcPr>
            <w:tcW w:w="1162" w:type="dxa"/>
          </w:tcPr>
          <w:p w14:paraId="710C1140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76FEA5BB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307B0454" w14:textId="77777777" w:rsidTr="000E5CCF">
        <w:trPr>
          <w:trHeight w:val="20"/>
        </w:trPr>
        <w:tc>
          <w:tcPr>
            <w:tcW w:w="6771" w:type="dxa"/>
          </w:tcPr>
          <w:p w14:paraId="14AFB8BB" w14:textId="1812B0EB" w:rsidR="00B83086" w:rsidRPr="00F637C3" w:rsidRDefault="000E5CCF" w:rsidP="000E5CCF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0E5CCF"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 w:rsidRPr="000E5CCF">
              <w:rPr>
                <w:rFonts w:cstheme="minorHAnsi"/>
              </w:rPr>
              <w:t>Havayı içinize çektikten sonra 1-2-3 şeklinde sayınız, karnınızı mümkün olduğunca</w:t>
            </w:r>
            <w:r>
              <w:rPr>
                <w:rFonts w:cstheme="minorHAnsi"/>
              </w:rPr>
              <w:t xml:space="preserve"> </w:t>
            </w:r>
            <w:r w:rsidRPr="000E5CCF">
              <w:rPr>
                <w:rFonts w:cstheme="minorHAnsi"/>
              </w:rPr>
              <w:t>şişiriniz.</w:t>
            </w:r>
          </w:p>
        </w:tc>
        <w:tc>
          <w:tcPr>
            <w:tcW w:w="1162" w:type="dxa"/>
          </w:tcPr>
          <w:p w14:paraId="344E887E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43D72A35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1E8C391F" w14:textId="77777777" w:rsidTr="000E5CCF">
        <w:trPr>
          <w:trHeight w:val="20"/>
        </w:trPr>
        <w:tc>
          <w:tcPr>
            <w:tcW w:w="6771" w:type="dxa"/>
          </w:tcPr>
          <w:p w14:paraId="7A61D285" w14:textId="53FC21B7" w:rsidR="00B83086" w:rsidRPr="00F637C3" w:rsidRDefault="000E5CCF" w:rsidP="000E5CCF">
            <w:pPr>
              <w:rPr>
                <w:rFonts w:cstheme="minorHAnsi"/>
              </w:rPr>
            </w:pPr>
            <w:r w:rsidRPr="000E5CCF">
              <w:rPr>
                <w:rFonts w:cstheme="minorHAnsi"/>
              </w:rPr>
              <w:t>5. Daha sonra dudaklarınızı büzerek yavaşça havayı dışarı verirken karnınızın üzerindeki</w:t>
            </w:r>
            <w:r>
              <w:rPr>
                <w:rFonts w:cstheme="minorHAnsi"/>
              </w:rPr>
              <w:t xml:space="preserve"> </w:t>
            </w:r>
            <w:r w:rsidRPr="000E5CCF">
              <w:rPr>
                <w:rFonts w:cstheme="minorHAnsi"/>
              </w:rPr>
              <w:t>elinizle yavaşça aşağı indiğini hissetmeye çalışın. Bunun için karın üzerine ince</w:t>
            </w:r>
            <w:r>
              <w:rPr>
                <w:rFonts w:cstheme="minorHAnsi"/>
              </w:rPr>
              <w:t xml:space="preserve"> </w:t>
            </w:r>
            <w:r w:rsidRPr="000E5CCF">
              <w:rPr>
                <w:rFonts w:cstheme="minorHAnsi"/>
              </w:rPr>
              <w:t xml:space="preserve">bir yastık ya da havluyla hafif </w:t>
            </w:r>
            <w:r w:rsidRPr="000E5CCF">
              <w:rPr>
                <w:rFonts w:cstheme="minorHAnsi"/>
              </w:rPr>
              <w:lastRenderedPageBreak/>
              <w:t>baskı yapmak için bastırabilirsiniz. Yine göğsünüzün</w:t>
            </w:r>
            <w:r>
              <w:rPr>
                <w:rFonts w:cstheme="minorHAnsi"/>
              </w:rPr>
              <w:t xml:space="preserve"> </w:t>
            </w:r>
            <w:r w:rsidRPr="000E5CCF">
              <w:rPr>
                <w:rFonts w:cstheme="minorHAnsi"/>
              </w:rPr>
              <w:t>üzerinde olan elin hareketi minimal olmalıdır.</w:t>
            </w:r>
          </w:p>
        </w:tc>
        <w:tc>
          <w:tcPr>
            <w:tcW w:w="1162" w:type="dxa"/>
          </w:tcPr>
          <w:p w14:paraId="15D62783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53B69558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115D3A2D" w14:textId="77777777" w:rsidTr="000E5CCF">
        <w:trPr>
          <w:trHeight w:val="20"/>
        </w:trPr>
        <w:tc>
          <w:tcPr>
            <w:tcW w:w="6771" w:type="dxa"/>
          </w:tcPr>
          <w:p w14:paraId="0478202C" w14:textId="3E997315" w:rsidR="00B83086" w:rsidRPr="00F637C3" w:rsidRDefault="000E5CCF" w:rsidP="000E5CCF">
            <w:pPr>
              <w:rPr>
                <w:rFonts w:cstheme="minorHAnsi"/>
              </w:rPr>
            </w:pPr>
            <w:r w:rsidRPr="000E5CCF">
              <w:rPr>
                <w:rFonts w:cstheme="minorHAnsi"/>
              </w:rPr>
              <w:t>6. Bu solunum egzersizlerini günde 3-4 kez tekrarlayın ve her seferinde 8-10 kez yapmaya</w:t>
            </w:r>
            <w:r>
              <w:rPr>
                <w:rFonts w:cstheme="minorHAnsi"/>
              </w:rPr>
              <w:t xml:space="preserve"> </w:t>
            </w:r>
            <w:r w:rsidRPr="000E5CCF">
              <w:rPr>
                <w:rFonts w:cstheme="minorHAnsi"/>
              </w:rPr>
              <w:t>çalışın.</w:t>
            </w:r>
          </w:p>
        </w:tc>
        <w:tc>
          <w:tcPr>
            <w:tcW w:w="1162" w:type="dxa"/>
          </w:tcPr>
          <w:p w14:paraId="0F76FD85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62E8A05F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0896CBFF" w14:textId="77777777" w:rsidTr="000E5CCF">
        <w:trPr>
          <w:trHeight w:val="20"/>
        </w:trPr>
        <w:tc>
          <w:tcPr>
            <w:tcW w:w="6771" w:type="dxa"/>
          </w:tcPr>
          <w:p w14:paraId="408D85C6" w14:textId="79E8991E" w:rsidR="00B83086" w:rsidRPr="000E5CCF" w:rsidRDefault="000E5CCF" w:rsidP="0002032D">
            <w:pPr>
              <w:rPr>
                <w:rFonts w:cstheme="minorHAnsi"/>
                <w:b/>
                <w:bCs/>
              </w:rPr>
            </w:pPr>
            <w:r w:rsidRPr="000E5CCF">
              <w:rPr>
                <w:rFonts w:cstheme="minorHAnsi"/>
                <w:b/>
                <w:bCs/>
              </w:rPr>
              <w:t>Öksürük Egzersizi</w:t>
            </w:r>
          </w:p>
        </w:tc>
        <w:tc>
          <w:tcPr>
            <w:tcW w:w="1162" w:type="dxa"/>
          </w:tcPr>
          <w:p w14:paraId="1051C3F7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2BD795B3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2551AAB8" w14:textId="77777777" w:rsidTr="000E5CCF">
        <w:trPr>
          <w:trHeight w:val="20"/>
        </w:trPr>
        <w:tc>
          <w:tcPr>
            <w:tcW w:w="6771" w:type="dxa"/>
          </w:tcPr>
          <w:p w14:paraId="1C1CB28E" w14:textId="5AB1670D" w:rsidR="00B83086" w:rsidRPr="00F637C3" w:rsidRDefault="000E5CCF" w:rsidP="000E5CCF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0E5CCF">
              <w:rPr>
                <w:rFonts w:cstheme="minorHAnsi"/>
              </w:rPr>
              <w:t>. Öncelikler rahat oturun ve vücudunuzu öne doğru eğiniz.</w:t>
            </w:r>
          </w:p>
        </w:tc>
        <w:tc>
          <w:tcPr>
            <w:tcW w:w="1162" w:type="dxa"/>
          </w:tcPr>
          <w:p w14:paraId="13FABEEA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157ADBDF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25B11C19" w14:textId="77777777" w:rsidTr="000E5CCF">
        <w:trPr>
          <w:trHeight w:val="20"/>
        </w:trPr>
        <w:tc>
          <w:tcPr>
            <w:tcW w:w="6771" w:type="dxa"/>
          </w:tcPr>
          <w:p w14:paraId="490F0ADE" w14:textId="28648964" w:rsidR="00B83086" w:rsidRPr="00F637C3" w:rsidRDefault="000E5CCF" w:rsidP="0002032D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0E5CCF">
              <w:rPr>
                <w:rFonts w:cstheme="minorHAnsi"/>
              </w:rPr>
              <w:t>. Üç defa derin nefes alıp veriniz.</w:t>
            </w:r>
          </w:p>
        </w:tc>
        <w:tc>
          <w:tcPr>
            <w:tcW w:w="1162" w:type="dxa"/>
          </w:tcPr>
          <w:p w14:paraId="6120BF10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404EAF8A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3ED22185" w14:textId="77777777" w:rsidTr="000E5CCF">
        <w:trPr>
          <w:trHeight w:val="20"/>
        </w:trPr>
        <w:tc>
          <w:tcPr>
            <w:tcW w:w="6771" w:type="dxa"/>
          </w:tcPr>
          <w:p w14:paraId="168FB231" w14:textId="3CDD743C" w:rsidR="00B83086" w:rsidRPr="00F637C3" w:rsidRDefault="000E5CCF" w:rsidP="000E5CCF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0E5CCF">
              <w:rPr>
                <w:rFonts w:cstheme="minorHAnsi"/>
              </w:rPr>
              <w:t>. Şimdi burundan derin ve yavaşça nefes alıp, birkaç saniye nefesinizi tutunuz.</w:t>
            </w:r>
          </w:p>
        </w:tc>
        <w:tc>
          <w:tcPr>
            <w:tcW w:w="1162" w:type="dxa"/>
          </w:tcPr>
          <w:p w14:paraId="21B3C3BD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0868FD82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063149FE" w14:textId="77777777" w:rsidTr="000E5CCF">
        <w:trPr>
          <w:trHeight w:val="20"/>
        </w:trPr>
        <w:tc>
          <w:tcPr>
            <w:tcW w:w="6771" w:type="dxa"/>
          </w:tcPr>
          <w:p w14:paraId="1E5CB520" w14:textId="4C5BAB45" w:rsidR="00B83086" w:rsidRPr="00F637C3" w:rsidRDefault="000E5CCF" w:rsidP="000E5CCF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0E5CCF">
              <w:rPr>
                <w:rFonts w:cstheme="minorHAnsi"/>
              </w:rPr>
              <w:t>. Başka nefes almadan ağzınızı açarak iki veya üç kez derin derin öksürünüz.</w:t>
            </w:r>
          </w:p>
        </w:tc>
        <w:tc>
          <w:tcPr>
            <w:tcW w:w="1162" w:type="dxa"/>
          </w:tcPr>
          <w:p w14:paraId="659D3CE0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5C355CAD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35492425" w14:textId="77777777" w:rsidTr="000E5CCF">
        <w:trPr>
          <w:trHeight w:val="20"/>
        </w:trPr>
        <w:tc>
          <w:tcPr>
            <w:tcW w:w="6771" w:type="dxa"/>
          </w:tcPr>
          <w:p w14:paraId="2BF05364" w14:textId="1C298376" w:rsidR="00B83086" w:rsidRPr="00F637C3" w:rsidRDefault="000E5CCF" w:rsidP="000E5CCF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0E5CCF">
              <w:rPr>
                <w:rFonts w:cstheme="minorHAnsi"/>
              </w:rPr>
              <w:t>. Nefes verirken öne doğru eğiliniz.</w:t>
            </w:r>
          </w:p>
        </w:tc>
        <w:tc>
          <w:tcPr>
            <w:tcW w:w="1162" w:type="dxa"/>
          </w:tcPr>
          <w:p w14:paraId="3DBBED0F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6D822818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58958BFF" w14:textId="77777777" w:rsidTr="000E5CCF">
        <w:trPr>
          <w:trHeight w:val="20"/>
        </w:trPr>
        <w:tc>
          <w:tcPr>
            <w:tcW w:w="6771" w:type="dxa"/>
          </w:tcPr>
          <w:p w14:paraId="6913AB34" w14:textId="77777777" w:rsidR="00B83086" w:rsidRPr="00842299" w:rsidRDefault="00B83086" w:rsidP="0002032D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162" w:type="dxa"/>
          </w:tcPr>
          <w:p w14:paraId="329BCBC0" w14:textId="77777777" w:rsidR="00B83086" w:rsidRPr="004D5A46" w:rsidRDefault="00B83086" w:rsidP="0002032D">
            <w:pPr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355" w:type="dxa"/>
          </w:tcPr>
          <w:p w14:paraId="1DE440C5" w14:textId="77777777" w:rsidR="00B83086" w:rsidRDefault="00B83086" w:rsidP="0002032D"/>
        </w:tc>
      </w:tr>
      <w:tr w:rsidR="00B83086" w14:paraId="3F595BD9" w14:textId="77777777" w:rsidTr="000E5CCF">
        <w:trPr>
          <w:trHeight w:val="20"/>
        </w:trPr>
        <w:tc>
          <w:tcPr>
            <w:tcW w:w="9288" w:type="dxa"/>
            <w:gridSpan w:val="3"/>
          </w:tcPr>
          <w:p w14:paraId="7C28ABF2" w14:textId="5BD6E466" w:rsidR="00B83086" w:rsidRPr="00FA119C" w:rsidRDefault="00B83086" w:rsidP="0002032D">
            <w:r w:rsidRPr="004D5A46">
              <w:rPr>
                <w:b/>
              </w:rPr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 xml:space="preserve">güvenliğini bozan eylem/ifade olması </w:t>
            </w:r>
            <w:proofErr w:type="gramStart"/>
            <w:r w:rsidRPr="004D5A46">
              <w:t>yada</w:t>
            </w:r>
            <w:proofErr w:type="gramEnd"/>
            <w:r w:rsidRPr="004D5A46">
              <w:t xml:space="preserve"> işlem basamaklarının herhangi</w:t>
            </w:r>
            <w:r w:rsidR="000E5CCF">
              <w:t xml:space="preserve"> </w:t>
            </w:r>
            <w:r w:rsidRPr="004D5A46">
              <w:t>birinin</w:t>
            </w:r>
            <w:r>
              <w:t>/……………………………………</w:t>
            </w:r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B83086" w14:paraId="42CD1497" w14:textId="77777777" w:rsidTr="00D90846">
        <w:tc>
          <w:tcPr>
            <w:tcW w:w="9288" w:type="dxa"/>
            <w:gridSpan w:val="3"/>
          </w:tcPr>
          <w:p w14:paraId="159651CE" w14:textId="61B4659A" w:rsidR="00B83086" w:rsidRPr="00961E09" w:rsidRDefault="00B83086" w:rsidP="00961E09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</w:tc>
      </w:tr>
      <w:tr w:rsidR="00B83086" w14:paraId="10D8DBCF" w14:textId="77777777" w:rsidTr="00D90846">
        <w:tc>
          <w:tcPr>
            <w:tcW w:w="9288" w:type="dxa"/>
            <w:gridSpan w:val="3"/>
          </w:tcPr>
          <w:p w14:paraId="233DB1C0" w14:textId="2E0A7196" w:rsidR="00B83086" w:rsidRPr="007056F1" w:rsidRDefault="00B83086" w:rsidP="00961E09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Sorumlu öğretim elemanı/elemanları:</w:t>
            </w:r>
          </w:p>
        </w:tc>
      </w:tr>
      <w:tr w:rsidR="00B83086" w14:paraId="30DE22ED" w14:textId="77777777" w:rsidTr="00D90846">
        <w:tc>
          <w:tcPr>
            <w:tcW w:w="9288" w:type="dxa"/>
            <w:gridSpan w:val="3"/>
          </w:tcPr>
          <w:p w14:paraId="6A754B7E" w14:textId="60F5276C" w:rsidR="00B83086" w:rsidRPr="007056F1" w:rsidRDefault="00D90846" w:rsidP="000203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Kaynak: </w:t>
            </w:r>
            <w:r w:rsidRPr="00D90846">
              <w:rPr>
                <w:rFonts w:cstheme="minorHAnsi"/>
              </w:rPr>
              <w:t>Yaşlı</w:t>
            </w:r>
            <w:r w:rsidR="00B83086" w:rsidRPr="00B83086">
              <w:rPr>
                <w:rFonts w:cstheme="minorHAnsi"/>
              </w:rPr>
              <w:t xml:space="preserve"> bakımına yönelik temel ilke ve uygulamalar. Yayın </w:t>
            </w:r>
            <w:proofErr w:type="spellStart"/>
            <w:proofErr w:type="gramStart"/>
            <w:r w:rsidR="00B83086" w:rsidRPr="00B83086">
              <w:rPr>
                <w:rFonts w:cstheme="minorHAnsi"/>
              </w:rPr>
              <w:t>Yeri:Ankara</w:t>
            </w:r>
            <w:proofErr w:type="spellEnd"/>
            <w:proofErr w:type="gramEnd"/>
            <w:r w:rsidR="00B83086" w:rsidRPr="00B83086">
              <w:rPr>
                <w:rFonts w:cstheme="minorHAnsi"/>
              </w:rPr>
              <w:t xml:space="preserve"> Nobel tıp kitabevleri, Editör:</w:t>
            </w:r>
            <w:r w:rsidR="00B83086">
              <w:rPr>
                <w:rFonts w:cstheme="minorHAnsi"/>
              </w:rPr>
              <w:t xml:space="preserve"> </w:t>
            </w:r>
            <w:r w:rsidR="00B83086" w:rsidRPr="00B83086">
              <w:rPr>
                <w:rFonts w:cstheme="minorHAnsi"/>
              </w:rPr>
              <w:t>Sarı Canan, Okur Elif, Basım sayısı:1, Sayfa sayısı:576, ISBN:978-625-6448-74-2.</w:t>
            </w:r>
          </w:p>
        </w:tc>
      </w:tr>
    </w:tbl>
    <w:p w14:paraId="4E94BC28" w14:textId="77777777" w:rsidR="0048359E" w:rsidRDefault="0048359E"/>
    <w:sectPr w:rsidR="0048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69D0"/>
    <w:multiLevelType w:val="hybridMultilevel"/>
    <w:tmpl w:val="16ECA1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8E"/>
    <w:rsid w:val="0002018E"/>
    <w:rsid w:val="000E5CCF"/>
    <w:rsid w:val="003E58D7"/>
    <w:rsid w:val="0048359E"/>
    <w:rsid w:val="005C2567"/>
    <w:rsid w:val="00647B23"/>
    <w:rsid w:val="006A1DAF"/>
    <w:rsid w:val="007166B6"/>
    <w:rsid w:val="0074127A"/>
    <w:rsid w:val="007C2C3F"/>
    <w:rsid w:val="00961E09"/>
    <w:rsid w:val="00A9211D"/>
    <w:rsid w:val="00B83086"/>
    <w:rsid w:val="00D90846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4F0"/>
  <w15:chartTrackingRefBased/>
  <w15:docId w15:val="{C8B2F635-C981-4D90-B0CC-3F8A806B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86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201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01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01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0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01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01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01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01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01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01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01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2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01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201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01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201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01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018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830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08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8</cp:revision>
  <dcterms:created xsi:type="dcterms:W3CDTF">2025-06-11T05:51:00Z</dcterms:created>
  <dcterms:modified xsi:type="dcterms:W3CDTF">2025-06-11T17:04:00Z</dcterms:modified>
</cp:coreProperties>
</file>