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F986" w14:textId="77777777" w:rsidR="00211D8D" w:rsidRPr="00211D8D" w:rsidRDefault="008121B6" w:rsidP="00211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11D8D">
        <w:rPr>
          <w:noProof/>
        </w:rPr>
        <w:drawing>
          <wp:anchor distT="0" distB="0" distL="114300" distR="114300" simplePos="0" relativeHeight="251660288" behindDoc="0" locked="0" layoutInCell="1" allowOverlap="1" wp14:anchorId="499CAE1A" wp14:editId="2BA31F73">
            <wp:simplePos x="0" y="0"/>
            <wp:positionH relativeFrom="column">
              <wp:posOffset>5404275</wp:posOffset>
            </wp:positionH>
            <wp:positionV relativeFrom="paragraph">
              <wp:posOffset>-412750</wp:posOffset>
            </wp:positionV>
            <wp:extent cx="641350" cy="648765"/>
            <wp:effectExtent l="0" t="0" r="6350" b="0"/>
            <wp:wrapNone/>
            <wp:docPr id="1593419795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46594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D8D">
        <w:rPr>
          <w:noProof/>
        </w:rPr>
        <w:drawing>
          <wp:anchor distT="0" distB="0" distL="114300" distR="114300" simplePos="0" relativeHeight="251658240" behindDoc="0" locked="0" layoutInCell="1" allowOverlap="1" wp14:anchorId="4EA8AB5E" wp14:editId="5965A621">
            <wp:simplePos x="0" y="0"/>
            <wp:positionH relativeFrom="column">
              <wp:posOffset>-321945</wp:posOffset>
            </wp:positionH>
            <wp:positionV relativeFrom="paragraph">
              <wp:posOffset>-450215</wp:posOffset>
            </wp:positionV>
            <wp:extent cx="641350" cy="648765"/>
            <wp:effectExtent l="0" t="0" r="6350" b="0"/>
            <wp:wrapNone/>
            <wp:docPr id="2144746594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46594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D8D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T.C.</w:t>
      </w:r>
    </w:p>
    <w:p w14:paraId="74917A04" w14:textId="47802732" w:rsidR="00211D8D" w:rsidRPr="00211D8D" w:rsidRDefault="00211D8D" w:rsidP="00211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TRABZON ÜNİVERSİTESİ</w:t>
      </w:r>
      <w:r w:rsidR="008121B6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34ED13A5" w14:textId="1A40873B" w:rsidR="00D02CCE" w:rsidRPr="00211D8D" w:rsidRDefault="00211D8D" w:rsidP="00211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Tonya Meslek Yüksekokulu</w:t>
      </w:r>
      <w:r w:rsidR="00563E43" w:rsidRPr="00211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="00A61C9B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2025 Yılı Ar-Ge Performans</w:t>
      </w:r>
      <w:r w:rsidR="00831BA9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ının Stratejik Plan Hedefleri</w:t>
      </w:r>
      <w:r w:rsidR="0054085A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ne Göre Analizi</w:t>
      </w:r>
      <w:r w:rsidR="00831BA9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58DF48ED" w14:textId="77777777" w:rsidR="00211D8D" w:rsidRDefault="00211D8D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D6C84F3" w14:textId="69FAE2E5" w:rsidR="008F1710" w:rsidRDefault="008F1710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Komisyon:</w:t>
      </w:r>
      <w:r w:rsidRPr="008F17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Araştırma ve Geliştirme Komisyonu</w:t>
      </w:r>
    </w:p>
    <w:p w14:paraId="7DA0D812" w14:textId="4AB9DF64" w:rsidR="008F1710" w:rsidRDefault="008F1710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F171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Tarihi: </w:t>
      </w:r>
      <w:r w:rsidR="006D3541" w:rsidRP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Aralık</w:t>
      </w:r>
      <w:r w:rsidRP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/</w:t>
      </w:r>
      <w:r w:rsid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2025</w:t>
      </w:r>
    </w:p>
    <w:p w14:paraId="244E46B2" w14:textId="77777777" w:rsidR="00211D8D" w:rsidRPr="008F1710" w:rsidRDefault="00211D8D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D6C41D2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GİRİŞ</w:t>
      </w:r>
    </w:p>
    <w:p w14:paraId="5D25D427" w14:textId="7494BD49" w:rsidR="00563E43" w:rsidRPr="00746830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Meslek Yüksekokulu Ar-Ge Komisyonu tarafından 2025 yılın</w:t>
      </w:r>
      <w:r w:rsidR="00754DB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ait akademik performans verileri değerlendirilmiştir. Bu rapor, 2025 Tonya M</w:t>
      </w:r>
      <w:r w:rsidR="009B656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eslek Yüksekokulu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Stratejik Planı ile uyumlu olarak hazırlanmış olup, bilimsel araştırma, yenilik, proje geliştirme ve kurumsal kapasite artırımı faaliyetlerini kapsamaktadır.</w:t>
      </w:r>
    </w:p>
    <w:p w14:paraId="75C2C224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STRATEJİK AMAÇ VE HEDEFLERLE UYUMLULUK</w:t>
      </w:r>
    </w:p>
    <w:p w14:paraId="4B9EE640" w14:textId="37ECF4FB" w:rsidR="00563E43" w:rsidRPr="00746830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Stratejik Amaç A2: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Bilimsel araştırma ve geliştirme faaliyetlerinin güçlendirilmesi.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Bu kapsamda 2025 yılın</w:t>
      </w:r>
      <w:r w:rsidR="00754DB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da 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performans göstergelerinde anlamlı ilerlemeler kaydedilmiştir: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2472"/>
        <w:gridCol w:w="2200"/>
      </w:tblGrid>
      <w:tr w:rsidR="00563E43" w:rsidRPr="00746830" w14:paraId="7E4CCDCB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29F3F2C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Performans Göstergesi</w:t>
            </w:r>
          </w:p>
        </w:tc>
        <w:tc>
          <w:tcPr>
            <w:tcW w:w="2442" w:type="dxa"/>
            <w:vAlign w:val="center"/>
            <w:hideMark/>
          </w:tcPr>
          <w:p w14:paraId="0EB67C3D" w14:textId="0FED393C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Gerçekleşme (2025)</w:t>
            </w:r>
          </w:p>
        </w:tc>
        <w:tc>
          <w:tcPr>
            <w:tcW w:w="0" w:type="auto"/>
            <w:vAlign w:val="center"/>
            <w:hideMark/>
          </w:tcPr>
          <w:p w14:paraId="09C8FADE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Stratejik Plan Referansı</w:t>
            </w:r>
          </w:p>
        </w:tc>
      </w:tr>
      <w:tr w:rsidR="00563E43" w:rsidRPr="00746830" w14:paraId="2967D5CC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637FD8F5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SCI/SCIE/SSCI/AHCI indeksli yayın sayısı</w:t>
            </w:r>
          </w:p>
        </w:tc>
        <w:tc>
          <w:tcPr>
            <w:tcW w:w="2442" w:type="dxa"/>
            <w:vAlign w:val="center"/>
            <w:hideMark/>
          </w:tcPr>
          <w:p w14:paraId="3AB324B8" w14:textId="0CFB2695" w:rsidR="00563E43" w:rsidRPr="00746830" w:rsidRDefault="00754DBE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5946809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PG2.1.1</w:t>
            </w:r>
          </w:p>
        </w:tc>
      </w:tr>
      <w:tr w:rsidR="00563E43" w:rsidRPr="00746830" w14:paraId="70DD9EF2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0F81B340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Ulusal (TR Dizin) makale sayısı</w:t>
            </w:r>
          </w:p>
        </w:tc>
        <w:tc>
          <w:tcPr>
            <w:tcW w:w="2442" w:type="dxa"/>
            <w:vAlign w:val="center"/>
            <w:hideMark/>
          </w:tcPr>
          <w:p w14:paraId="7DC6644E" w14:textId="400A08AB" w:rsidR="00563E43" w:rsidRPr="00746830" w:rsidRDefault="00754DBE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F02FE2B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PG2.1.2</w:t>
            </w:r>
          </w:p>
        </w:tc>
      </w:tr>
      <w:tr w:rsidR="00563E43" w:rsidRPr="00746830" w14:paraId="6A22D7B2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01279644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Kitap ve kitap bölümü sayısı</w:t>
            </w:r>
          </w:p>
        </w:tc>
        <w:tc>
          <w:tcPr>
            <w:tcW w:w="2442" w:type="dxa"/>
            <w:vAlign w:val="center"/>
            <w:hideMark/>
          </w:tcPr>
          <w:p w14:paraId="66BC54FD" w14:textId="13B2A674" w:rsidR="00563E43" w:rsidRPr="00746830" w:rsidRDefault="00754DBE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2156725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PG2.1.3, PG2.1.4</w:t>
            </w:r>
          </w:p>
        </w:tc>
      </w:tr>
      <w:tr w:rsidR="00563E43" w:rsidRPr="00746830" w14:paraId="45C09B02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55B9BF06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Ulusal ve uluslararası bildiri sayısı</w:t>
            </w:r>
          </w:p>
        </w:tc>
        <w:tc>
          <w:tcPr>
            <w:tcW w:w="2442" w:type="dxa"/>
            <w:vAlign w:val="center"/>
            <w:hideMark/>
          </w:tcPr>
          <w:p w14:paraId="51E23094" w14:textId="322A5BFD" w:rsidR="00563E43" w:rsidRPr="00746830" w:rsidRDefault="00754DBE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6D6E9114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PG2.4.1</w:t>
            </w:r>
          </w:p>
        </w:tc>
      </w:tr>
      <w:tr w:rsidR="00563E43" w:rsidRPr="00746830" w14:paraId="213A0019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0907878D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Toplam atıf sayısı</w:t>
            </w:r>
          </w:p>
        </w:tc>
        <w:tc>
          <w:tcPr>
            <w:tcW w:w="2442" w:type="dxa"/>
            <w:vAlign w:val="center"/>
            <w:hideMark/>
          </w:tcPr>
          <w:p w14:paraId="00E7EE50" w14:textId="69D61477" w:rsidR="00563E43" w:rsidRPr="00746830" w:rsidRDefault="00754DBE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14:paraId="5CAE2E7B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PG2.1.5</w:t>
            </w:r>
          </w:p>
        </w:tc>
      </w:tr>
      <w:tr w:rsidR="00563E43" w:rsidRPr="00746830" w14:paraId="3DA29DDE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49229519" w14:textId="7CFAC559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Yürütülen proje sayısı</w:t>
            </w:r>
            <w:r w:rsidR="005262E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(Devam eden)</w:t>
            </w:r>
          </w:p>
        </w:tc>
        <w:tc>
          <w:tcPr>
            <w:tcW w:w="2442" w:type="dxa"/>
            <w:vAlign w:val="center"/>
            <w:hideMark/>
          </w:tcPr>
          <w:p w14:paraId="4EBECE00" w14:textId="18DE0659" w:rsidR="00563E43" w:rsidRPr="00746830" w:rsidRDefault="005262EA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F1C1C0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PG2.2.1, PG2.2.2</w:t>
            </w:r>
          </w:p>
        </w:tc>
      </w:tr>
      <w:tr w:rsidR="00563E43" w:rsidRPr="00746830" w14:paraId="54D819B0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228F338E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Patent başvurusu sayısı</w:t>
            </w:r>
          </w:p>
        </w:tc>
        <w:tc>
          <w:tcPr>
            <w:tcW w:w="2442" w:type="dxa"/>
            <w:vAlign w:val="center"/>
            <w:hideMark/>
          </w:tcPr>
          <w:p w14:paraId="6AB98342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ED6F6A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PG2.2.3</w:t>
            </w:r>
          </w:p>
        </w:tc>
      </w:tr>
    </w:tbl>
    <w:p w14:paraId="015E4929" w14:textId="77777777" w:rsidR="00563E43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veriler, Yüksekokulun bilimsel üretkenlik, proje yönetimi ve yenilik odaklılıkta süreklilik sağladığını ortaya koymaktadır.</w:t>
      </w:r>
    </w:p>
    <w:p w14:paraId="63E14C52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STRATEJİK AMAÇLARA GÖRE PERFORMANS UYUM ANALİZİ</w:t>
      </w:r>
    </w:p>
    <w:tbl>
      <w:tblPr>
        <w:tblW w:w="925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1738"/>
        <w:gridCol w:w="3789"/>
      </w:tblGrid>
      <w:tr w:rsidR="00563E43" w:rsidRPr="00746830" w14:paraId="51BE6A2A" w14:textId="77777777" w:rsidTr="00211D8D">
        <w:trPr>
          <w:trHeight w:val="215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5539C9C8" w14:textId="77777777" w:rsidR="00563E43" w:rsidRPr="00C55F38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Stratejik Amaç / Hedef</w:t>
            </w:r>
          </w:p>
        </w:tc>
        <w:tc>
          <w:tcPr>
            <w:tcW w:w="1708" w:type="dxa"/>
            <w:vAlign w:val="center"/>
            <w:hideMark/>
          </w:tcPr>
          <w:p w14:paraId="24FED3AD" w14:textId="08582737" w:rsidR="00563E43" w:rsidRPr="00C55F38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Uyum</w:t>
            </w:r>
            <w:r w:rsidR="00C91EA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Düzeyi</w:t>
            </w:r>
          </w:p>
        </w:tc>
        <w:tc>
          <w:tcPr>
            <w:tcW w:w="3744" w:type="dxa"/>
            <w:vAlign w:val="center"/>
            <w:hideMark/>
          </w:tcPr>
          <w:p w14:paraId="5F0B5B67" w14:textId="77777777" w:rsidR="00563E43" w:rsidRPr="00C55F38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Değerlendirme ve Kanıt</w:t>
            </w:r>
          </w:p>
        </w:tc>
      </w:tr>
      <w:tr w:rsidR="00563E43" w:rsidRPr="00746830" w14:paraId="7BA5FBC4" w14:textId="77777777" w:rsidTr="00211D8D">
        <w:trPr>
          <w:trHeight w:val="448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10FBAEBE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A1 – Eğitim-öğretim faaliyetlerinin ulusal/uluslararası standartlara taşınması</w:t>
            </w:r>
          </w:p>
        </w:tc>
        <w:tc>
          <w:tcPr>
            <w:tcW w:w="1708" w:type="dxa"/>
            <w:vAlign w:val="center"/>
            <w:hideMark/>
          </w:tcPr>
          <w:p w14:paraId="226B6E91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Dolaylı uyum</w:t>
            </w:r>
          </w:p>
        </w:tc>
        <w:tc>
          <w:tcPr>
            <w:tcW w:w="3744" w:type="dxa"/>
            <w:vAlign w:val="center"/>
            <w:hideMark/>
          </w:tcPr>
          <w:p w14:paraId="0E7D655B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Akademik yayınların niteliği, eğitimde bilimsel içeriklerin güçlenmesine katkı sunuyor.</w:t>
            </w:r>
          </w:p>
        </w:tc>
      </w:tr>
      <w:tr w:rsidR="00563E43" w:rsidRPr="00746830" w14:paraId="4B2AE981" w14:textId="77777777" w:rsidTr="00211D8D">
        <w:trPr>
          <w:trHeight w:val="596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29B898BF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A2 – Bilimsel araştırma ve Ar-Ge kapasitesinin güçlendirilmesi</w:t>
            </w:r>
          </w:p>
        </w:tc>
        <w:tc>
          <w:tcPr>
            <w:tcW w:w="1708" w:type="dxa"/>
            <w:vAlign w:val="center"/>
            <w:hideMark/>
          </w:tcPr>
          <w:p w14:paraId="29C8ABAF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Yüksek uyum</w:t>
            </w:r>
          </w:p>
        </w:tc>
        <w:tc>
          <w:tcPr>
            <w:tcW w:w="3744" w:type="dxa"/>
            <w:vAlign w:val="center"/>
            <w:hideMark/>
          </w:tcPr>
          <w:p w14:paraId="126F1951" w14:textId="66133DAE" w:rsidR="00563E43" w:rsidRPr="00C55F38" w:rsidRDefault="00C91EA3" w:rsidP="00C91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U</w:t>
            </w:r>
            <w:r w:rsidR="00563E43"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luslararası yayın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ve</w:t>
            </w:r>
            <w:r w:rsidR="00563E43"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1C1FD0"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atıf</w:t>
            </w:r>
            <w:r w:rsidR="001C1F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lar </w:t>
            </w:r>
            <w:r w:rsidR="001C1FD0"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PG</w:t>
            </w:r>
            <w:r w:rsidR="00563E43"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2.1.1 ve PG2.1.5 göstergeleri doğrudan karşılanıyor.</w:t>
            </w:r>
          </w:p>
        </w:tc>
      </w:tr>
      <w:tr w:rsidR="00563E43" w:rsidRPr="00746830" w14:paraId="078DEB7C" w14:textId="77777777" w:rsidTr="00211D8D">
        <w:trPr>
          <w:trHeight w:val="898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484CD2BA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A3 – Paydaşlarla iletişim ve etkileşimin geliştirilmesi</w:t>
            </w:r>
          </w:p>
        </w:tc>
        <w:tc>
          <w:tcPr>
            <w:tcW w:w="1708" w:type="dxa"/>
            <w:vAlign w:val="center"/>
            <w:hideMark/>
          </w:tcPr>
          <w:p w14:paraId="463D13BE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Orta uyum</w:t>
            </w:r>
          </w:p>
        </w:tc>
        <w:tc>
          <w:tcPr>
            <w:tcW w:w="3744" w:type="dxa"/>
            <w:vAlign w:val="center"/>
            <w:hideMark/>
          </w:tcPr>
          <w:p w14:paraId="302B48A0" w14:textId="40D11E80" w:rsidR="00563E43" w:rsidRPr="00C55F38" w:rsidRDefault="00C91EA3" w:rsidP="00C91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U</w:t>
            </w:r>
            <w:r w:rsidR="00563E43"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luslararası bildiri ve 5 proje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ler </w:t>
            </w:r>
            <w:r w:rsidR="00563E43"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akademik ağ ve dış paydaş etkileşimini güçlendiriyor.</w:t>
            </w:r>
          </w:p>
        </w:tc>
      </w:tr>
      <w:tr w:rsidR="00563E43" w:rsidRPr="00746830" w14:paraId="5BC64F2B" w14:textId="77777777" w:rsidTr="00211D8D">
        <w:trPr>
          <w:trHeight w:val="723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6A8FA0DA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A4 – Kurumsal kültür ve altyapının güçlendirilmesi</w:t>
            </w:r>
          </w:p>
        </w:tc>
        <w:tc>
          <w:tcPr>
            <w:tcW w:w="1708" w:type="dxa"/>
            <w:vAlign w:val="center"/>
            <w:hideMark/>
          </w:tcPr>
          <w:p w14:paraId="231ABCDD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Dolaylı uyum</w:t>
            </w:r>
          </w:p>
        </w:tc>
        <w:tc>
          <w:tcPr>
            <w:tcW w:w="3744" w:type="dxa"/>
            <w:vAlign w:val="center"/>
            <w:hideMark/>
          </w:tcPr>
          <w:p w14:paraId="53CC32D1" w14:textId="41FE42B2" w:rsidR="00563E43" w:rsidRPr="00C55F38" w:rsidRDefault="00563E43" w:rsidP="00C91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Patent başvurusu ve proje sayısı</w:t>
            </w:r>
            <w:r w:rsidR="00C91E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yenilikçi kurumsal kültürü destekliyor.</w:t>
            </w:r>
          </w:p>
        </w:tc>
      </w:tr>
      <w:tr w:rsidR="00563E43" w:rsidRPr="00746830" w14:paraId="0CF8273F" w14:textId="77777777" w:rsidTr="00211D8D">
        <w:trPr>
          <w:trHeight w:val="742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61D81D41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A5 – Hayat boyu öğrenme ve sürdürülebilirlik</w:t>
            </w:r>
          </w:p>
        </w:tc>
        <w:tc>
          <w:tcPr>
            <w:tcW w:w="1708" w:type="dxa"/>
            <w:vAlign w:val="center"/>
            <w:hideMark/>
          </w:tcPr>
          <w:p w14:paraId="3AE73163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Dolaylı uyum</w:t>
            </w:r>
          </w:p>
        </w:tc>
        <w:tc>
          <w:tcPr>
            <w:tcW w:w="3744" w:type="dxa"/>
            <w:vAlign w:val="center"/>
            <w:hideMark/>
          </w:tcPr>
          <w:p w14:paraId="525E7696" w14:textId="1934E3A3" w:rsidR="00563E43" w:rsidRPr="00C55F38" w:rsidRDefault="00563E43" w:rsidP="00C91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Bilimsel etkinlik ve yayın çeşitliliği sürekli öğrenme ve bilimsel gelişim kültürünü destekliyor.</w:t>
            </w:r>
          </w:p>
        </w:tc>
      </w:tr>
    </w:tbl>
    <w:p w14:paraId="27064BB1" w14:textId="0D228DED" w:rsidR="00563E43" w:rsidRPr="00746830" w:rsidRDefault="00563E43" w:rsidP="00211D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7929ACB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 BULGULARIN DEĞERLENDİRİLMESİ</w:t>
      </w:r>
    </w:p>
    <w:p w14:paraId="0E494141" w14:textId="77777777" w:rsidR="00563E43" w:rsidRPr="00746830" w:rsidRDefault="00563E43" w:rsidP="00211D8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4.1. Güçlü Yönler</w:t>
      </w:r>
    </w:p>
    <w:p w14:paraId="2B59167C" w14:textId="77777777" w:rsidR="00563E43" w:rsidRPr="00746830" w:rsidRDefault="00563E43" w:rsidP="00211D8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Uluslararası endeksli yayın ve atıf sayılarının artması.</w:t>
      </w:r>
    </w:p>
    <w:p w14:paraId="13C04B8C" w14:textId="53FF2F18" w:rsidR="00563E43" w:rsidRPr="00746830" w:rsidRDefault="00563E43" w:rsidP="00211D8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Akademik personelin proje ve bildiri etkinliklerine aktif katılım</w:t>
      </w:r>
      <w:r w:rsidR="00C91EA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ının olması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531EEBB0" w14:textId="77777777" w:rsidR="00563E43" w:rsidRPr="00746830" w:rsidRDefault="00563E43" w:rsidP="00211D8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Patent başvurusu ile yenilikçi yaklaşımın kurumsallaşması.</w:t>
      </w:r>
    </w:p>
    <w:p w14:paraId="644490C2" w14:textId="77777777" w:rsidR="00563E43" w:rsidRPr="00746830" w:rsidRDefault="00563E43" w:rsidP="00211D8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4.2. Zayıf Yönler ve Riskler</w:t>
      </w:r>
    </w:p>
    <w:p w14:paraId="357249CE" w14:textId="77777777" w:rsidR="00563E43" w:rsidRPr="00746830" w:rsidRDefault="00563E43" w:rsidP="00211D8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Araştırma destek fonlarının sürekliliği ve bütçe sınırlamaları.</w:t>
      </w:r>
    </w:p>
    <w:p w14:paraId="7C8629D1" w14:textId="77777777" w:rsidR="00563E43" w:rsidRPr="00746830" w:rsidRDefault="00563E43" w:rsidP="00211D8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Öğretim elemanı başına düşen öğrenci sayısının yüksekliği.</w:t>
      </w:r>
    </w:p>
    <w:p w14:paraId="41FF29CB" w14:textId="57C0BB9E" w:rsidR="00563E43" w:rsidRPr="00746830" w:rsidRDefault="00563E43" w:rsidP="00211D8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Öğrencilerin araştırma projelerine </w:t>
      </w:r>
      <w:r w:rsidR="00C91EA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katılımının sınırlı olması.</w:t>
      </w:r>
    </w:p>
    <w:p w14:paraId="74F315C1" w14:textId="77777777" w:rsidR="00563E43" w:rsidRPr="00746830" w:rsidRDefault="00563E43" w:rsidP="00211D8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4.3. Fırsatlar</w:t>
      </w:r>
    </w:p>
    <w:p w14:paraId="2C96721E" w14:textId="4B2BCFEB" w:rsidR="00563E43" w:rsidRPr="00746830" w:rsidRDefault="00563E43" w:rsidP="00C91EA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Tonya </w:t>
      </w:r>
      <w:r w:rsidR="00C91EA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Meslek Yüksekokulunun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Trabzon Üniversitesi </w:t>
      </w:r>
      <w:r w:rsidR="00C91EA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bünyesinde yer alan meslek yüksekokulları 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içinde sağlık alanında öncelikli konumda olması.</w:t>
      </w:r>
    </w:p>
    <w:p w14:paraId="22A4BD0C" w14:textId="77777777" w:rsidR="00563E43" w:rsidRPr="00746830" w:rsidRDefault="00563E43" w:rsidP="00211D8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Ulusal ve uluslararası proje fonları (TÜBİTAK, DOKA, AB vb.) ile yeni ortaklıkların geliştirilme potansiyeli.</w:t>
      </w:r>
    </w:p>
    <w:p w14:paraId="6C128C93" w14:textId="01C583F9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5. PUKÖ DÖNGÜSÜ (2025 </w:t>
      </w:r>
      <w:r w:rsidR="00C91EA3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Yılı</w:t>
      </w: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)</w:t>
      </w:r>
    </w:p>
    <w:tbl>
      <w:tblPr>
        <w:tblW w:w="908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6169"/>
        <w:gridCol w:w="1438"/>
      </w:tblGrid>
      <w:tr w:rsidR="00563E43" w:rsidRPr="00746830" w14:paraId="2A2B90F7" w14:textId="77777777" w:rsidTr="00211D8D">
        <w:trPr>
          <w:trHeight w:val="424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1EA7E1E2" w14:textId="77777777" w:rsidR="00563E43" w:rsidRPr="00C91EA3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91EA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Aşama</w:t>
            </w:r>
          </w:p>
        </w:tc>
        <w:tc>
          <w:tcPr>
            <w:tcW w:w="6139" w:type="dxa"/>
            <w:vAlign w:val="center"/>
            <w:hideMark/>
          </w:tcPr>
          <w:p w14:paraId="299165F5" w14:textId="77777777" w:rsidR="00563E43" w:rsidRPr="00C91EA3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91EA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Faaliyet</w:t>
            </w:r>
          </w:p>
        </w:tc>
        <w:tc>
          <w:tcPr>
            <w:tcW w:w="1393" w:type="dxa"/>
            <w:vAlign w:val="center"/>
            <w:hideMark/>
          </w:tcPr>
          <w:p w14:paraId="4A012D16" w14:textId="77777777" w:rsidR="00563E43" w:rsidRPr="00C91EA3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91EA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Durum</w:t>
            </w:r>
          </w:p>
        </w:tc>
      </w:tr>
      <w:tr w:rsidR="00563E43" w:rsidRPr="00746830" w14:paraId="0F0A24E5" w14:textId="77777777" w:rsidTr="00211D8D">
        <w:trPr>
          <w:trHeight w:val="863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646523C1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Planla (P)</w:t>
            </w:r>
          </w:p>
        </w:tc>
        <w:tc>
          <w:tcPr>
            <w:tcW w:w="6139" w:type="dxa"/>
            <w:vAlign w:val="center"/>
            <w:hideMark/>
          </w:tcPr>
          <w:p w14:paraId="17197CA8" w14:textId="7827B6C7" w:rsidR="00563E43" w:rsidRPr="00746830" w:rsidRDefault="00563E43" w:rsidP="00C91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2025 </w:t>
            </w:r>
            <w:r w:rsidR="00C91EA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yılı </w:t>
            </w: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Stratejik Plan A2 kapsamında yayın ve proje hedefleri belirlendi.</w:t>
            </w:r>
          </w:p>
        </w:tc>
        <w:tc>
          <w:tcPr>
            <w:tcW w:w="1393" w:type="dxa"/>
            <w:vAlign w:val="center"/>
            <w:hideMark/>
          </w:tcPr>
          <w:p w14:paraId="47CFEED4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Tamamlandı</w:t>
            </w:r>
          </w:p>
        </w:tc>
      </w:tr>
      <w:tr w:rsidR="00563E43" w:rsidRPr="00746830" w14:paraId="11477B76" w14:textId="77777777" w:rsidTr="00211D8D">
        <w:trPr>
          <w:trHeight w:val="852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13360B8F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Uygula (U)</w:t>
            </w:r>
          </w:p>
        </w:tc>
        <w:tc>
          <w:tcPr>
            <w:tcW w:w="6139" w:type="dxa"/>
            <w:vAlign w:val="center"/>
            <w:hideMark/>
          </w:tcPr>
          <w:p w14:paraId="1B66206D" w14:textId="132F36F2" w:rsidR="00563E43" w:rsidRPr="00746830" w:rsidRDefault="00563E43" w:rsidP="00C91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Akademik personelin yayın, proje ve patent çalışmaları</w:t>
            </w:r>
            <w:r w:rsidR="00C91EA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nın destelendi teşvik edildi.</w:t>
            </w:r>
          </w:p>
        </w:tc>
        <w:tc>
          <w:tcPr>
            <w:tcW w:w="1393" w:type="dxa"/>
            <w:vAlign w:val="center"/>
            <w:hideMark/>
          </w:tcPr>
          <w:p w14:paraId="37F6C745" w14:textId="696ECC26" w:rsidR="00563E43" w:rsidRPr="00746830" w:rsidRDefault="00C91EA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Tamamlandı</w:t>
            </w:r>
          </w:p>
        </w:tc>
      </w:tr>
      <w:tr w:rsidR="00563E43" w:rsidRPr="00746830" w14:paraId="07C8A2C4" w14:textId="77777777" w:rsidTr="00211D8D">
        <w:trPr>
          <w:trHeight w:val="863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7E5805BA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lastRenderedPageBreak/>
              <w:t>Kontrol Et (K)</w:t>
            </w:r>
          </w:p>
        </w:tc>
        <w:tc>
          <w:tcPr>
            <w:tcW w:w="6139" w:type="dxa"/>
            <w:vAlign w:val="center"/>
            <w:hideMark/>
          </w:tcPr>
          <w:p w14:paraId="11E0A2B0" w14:textId="056687D2" w:rsidR="00563E43" w:rsidRPr="00746830" w:rsidRDefault="00563E43" w:rsidP="00C91E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Ar-Ge Komisyonu tarafından </w:t>
            </w:r>
            <w:r w:rsidR="00C91EA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 yılı</w:t>
            </w: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performans verileri analiz edildi.</w:t>
            </w:r>
          </w:p>
        </w:tc>
        <w:tc>
          <w:tcPr>
            <w:tcW w:w="1393" w:type="dxa"/>
            <w:vAlign w:val="center"/>
            <w:hideMark/>
          </w:tcPr>
          <w:p w14:paraId="71CE05F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Tamamlandı</w:t>
            </w:r>
          </w:p>
        </w:tc>
      </w:tr>
      <w:tr w:rsidR="00563E43" w:rsidRPr="00746830" w14:paraId="0504F1DC" w14:textId="77777777" w:rsidTr="00211D8D">
        <w:trPr>
          <w:trHeight w:val="863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3718E363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Önlem Al (Ö)</w:t>
            </w:r>
          </w:p>
        </w:tc>
        <w:tc>
          <w:tcPr>
            <w:tcW w:w="6139" w:type="dxa"/>
            <w:vAlign w:val="center"/>
            <w:hideMark/>
          </w:tcPr>
          <w:p w14:paraId="50D830EB" w14:textId="4AEF4DCC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  <w:r w:rsidR="00C91EA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026</w:t>
            </w: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="00C91EA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yılı</w:t>
            </w: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için proje destek mekanizmasının güçlendirilmesi ve öğrenci katılımının artırılması planlandı.</w:t>
            </w:r>
          </w:p>
        </w:tc>
        <w:tc>
          <w:tcPr>
            <w:tcW w:w="1393" w:type="dxa"/>
            <w:vAlign w:val="center"/>
            <w:hideMark/>
          </w:tcPr>
          <w:p w14:paraId="10D98D0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Planlandı</w:t>
            </w:r>
          </w:p>
        </w:tc>
      </w:tr>
    </w:tbl>
    <w:p w14:paraId="27FA71B2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6. İYİLEŞTİRME VE GELİŞİM ÖNERİLERİ</w:t>
      </w:r>
    </w:p>
    <w:p w14:paraId="4DE87216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Yayın ve Proje Teşviki: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Stratejik plandaki H2.1 ve H2.2 hedefleri doğrultusunda, ulusal ve uluslararası yayınları teşvik edecek bir ödül sisteminin uygulanması.</w:t>
      </w:r>
    </w:p>
    <w:p w14:paraId="696D8736" w14:textId="6765B383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Araştırma Katılımı: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TÜBİTAK 2209-A ve benzeri programlara başvuru konusunda farkındalık toplantıları</w:t>
      </w:r>
      <w:r w:rsidR="00760D2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nın sürdürülebilirliği sağlanmalı.</w:t>
      </w:r>
    </w:p>
    <w:p w14:paraId="29E91EED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Disiplinlerarası Çalışma Ortamları: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Farklı programlar arasında proje temelli iş birliklerinin artırılması.</w:t>
      </w:r>
    </w:p>
    <w:p w14:paraId="6F542AAF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Kaynak ve Bütçe Planlaması: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Ar-Ge bütçesinin sürekliliğini sağlamak için proje tabanlı kaynak yaratma stratejileri geliştirilmelidir.</w:t>
      </w:r>
    </w:p>
    <w:p w14:paraId="2A84AF3C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 SONUÇ</w:t>
      </w:r>
    </w:p>
    <w:p w14:paraId="58BC8CA6" w14:textId="6AE66EBA" w:rsidR="00991C7B" w:rsidRDefault="00563E43" w:rsidP="00991C7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2025 yılı</w:t>
      </w:r>
      <w:r w:rsid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nda 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Tonya Meslek Yüksekokulu, stratejik </w:t>
      </w:r>
      <w:r w:rsid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plana uyumlu olarak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bilimsel üretim ve Ar-Ge performansını sürekli artan bir ivmeyle sürdürmüştür</w:t>
      </w:r>
      <w:r w:rsid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r w:rsidR="00991C7B" w:rsidRP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Meslek Yüksekokulu</w:t>
      </w:r>
      <w:r w:rsid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nun</w:t>
      </w:r>
      <w:r w:rsidR="00991C7B" w:rsidRP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mevcut akademik kadrosuyla bilimsel üretim açısından güçlü bir kurumsal profil</w:t>
      </w:r>
      <w:r w:rsid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 sahip olduğu, </w:t>
      </w:r>
      <w:r w:rsidR="00991C7B" w:rsidRP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uygun stratejik yönlendirme ve teşvik mekanizmalarıyla bu performansın daha da ileri taşınabileceği </w:t>
      </w:r>
      <w:r w:rsidR="00991C7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değerlendirilmiştir.</w:t>
      </w:r>
    </w:p>
    <w:p w14:paraId="685DD1DB" w14:textId="77777777" w:rsidR="00991C7B" w:rsidRDefault="00991C7B" w:rsidP="00991C7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3DA466C" w14:textId="77777777" w:rsidR="00991C7B" w:rsidRDefault="00991C7B" w:rsidP="00991C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</w:p>
    <w:p w14:paraId="2D797405" w14:textId="17CD2392" w:rsidR="00991C7B" w:rsidRPr="00991C7B" w:rsidRDefault="00EF19B0" w:rsidP="00991C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  <w:r w:rsidRPr="00991C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Trabzon Üniversitesi</w:t>
      </w:r>
    </w:p>
    <w:p w14:paraId="3CBE10AE" w14:textId="6FD5EB60" w:rsidR="00EF19B0" w:rsidRPr="00991C7B" w:rsidRDefault="00EF19B0" w:rsidP="00991C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  <w:r w:rsidRPr="00991C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Tonya M</w:t>
      </w:r>
      <w:r w:rsidR="00991C7B" w:rsidRPr="00991C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eslek Yüksekokulu</w:t>
      </w:r>
    </w:p>
    <w:p w14:paraId="6ADD35AD" w14:textId="7CB3C658" w:rsidR="00EF19B0" w:rsidRPr="00991C7B" w:rsidRDefault="00991C7B" w:rsidP="0099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  <w:r w:rsidRPr="00991C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Aralık</w:t>
      </w:r>
      <w:r w:rsidR="00EF19B0" w:rsidRPr="00991C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 xml:space="preserve"> </w:t>
      </w:r>
      <w:r w:rsidR="00EF19B0" w:rsidRPr="00991C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2025</w:t>
      </w:r>
    </w:p>
    <w:sectPr w:rsidR="00EF19B0" w:rsidRPr="0099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A13"/>
    <w:multiLevelType w:val="multilevel"/>
    <w:tmpl w:val="9AAC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03F00"/>
    <w:multiLevelType w:val="multilevel"/>
    <w:tmpl w:val="55E6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25B16"/>
    <w:multiLevelType w:val="multilevel"/>
    <w:tmpl w:val="2E8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77EDA"/>
    <w:multiLevelType w:val="multilevel"/>
    <w:tmpl w:val="AF9C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140391">
    <w:abstractNumId w:val="0"/>
  </w:num>
  <w:num w:numId="2" w16cid:durableId="2098859798">
    <w:abstractNumId w:val="1"/>
  </w:num>
  <w:num w:numId="3" w16cid:durableId="1928152349">
    <w:abstractNumId w:val="2"/>
  </w:num>
  <w:num w:numId="4" w16cid:durableId="98023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43"/>
    <w:rsid w:val="000167AB"/>
    <w:rsid w:val="00045D6B"/>
    <w:rsid w:val="000A450F"/>
    <w:rsid w:val="001B3C5E"/>
    <w:rsid w:val="001C1FD0"/>
    <w:rsid w:val="00211D8D"/>
    <w:rsid w:val="0026772F"/>
    <w:rsid w:val="002716A2"/>
    <w:rsid w:val="00436746"/>
    <w:rsid w:val="0048763E"/>
    <w:rsid w:val="00487C37"/>
    <w:rsid w:val="004F47DE"/>
    <w:rsid w:val="005262EA"/>
    <w:rsid w:val="0054085A"/>
    <w:rsid w:val="00563E43"/>
    <w:rsid w:val="005A62B8"/>
    <w:rsid w:val="00646606"/>
    <w:rsid w:val="006B2FC4"/>
    <w:rsid w:val="006C46F5"/>
    <w:rsid w:val="006D3541"/>
    <w:rsid w:val="006E39DE"/>
    <w:rsid w:val="00746830"/>
    <w:rsid w:val="00754DBE"/>
    <w:rsid w:val="00760D28"/>
    <w:rsid w:val="007F225F"/>
    <w:rsid w:val="008121B6"/>
    <w:rsid w:val="00812433"/>
    <w:rsid w:val="00831BA9"/>
    <w:rsid w:val="008846EE"/>
    <w:rsid w:val="008F1710"/>
    <w:rsid w:val="009843D4"/>
    <w:rsid w:val="00991133"/>
    <w:rsid w:val="00991C7B"/>
    <w:rsid w:val="009B6562"/>
    <w:rsid w:val="00A03D6B"/>
    <w:rsid w:val="00A61C9B"/>
    <w:rsid w:val="00A82B40"/>
    <w:rsid w:val="00AE23F5"/>
    <w:rsid w:val="00C10BC3"/>
    <w:rsid w:val="00C55F38"/>
    <w:rsid w:val="00C91EA3"/>
    <w:rsid w:val="00CD3A97"/>
    <w:rsid w:val="00CE2164"/>
    <w:rsid w:val="00D02CCE"/>
    <w:rsid w:val="00E779E8"/>
    <w:rsid w:val="00EF19B0"/>
    <w:rsid w:val="00E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B870"/>
  <w15:chartTrackingRefBased/>
  <w15:docId w15:val="{8EEBC62C-4260-4501-8D9F-F9F5E687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3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3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3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3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3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3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3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3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3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3E4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3E4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3E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3E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3E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3E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3E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3E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3E4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3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3E4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3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86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1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96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7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48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52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F8BD-90E3-4358-BD01-44259AFB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Galip Usta</cp:lastModifiedBy>
  <cp:revision>5</cp:revision>
  <dcterms:created xsi:type="dcterms:W3CDTF">2026-01-12T21:33:00Z</dcterms:created>
  <dcterms:modified xsi:type="dcterms:W3CDTF">2026-01-12T21:36:00Z</dcterms:modified>
</cp:coreProperties>
</file>