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70DB3" w14:textId="028579CD" w:rsidR="009B34DE" w:rsidRDefault="009B34DE" w:rsidP="009B34DE">
      <w:pPr>
        <w:pStyle w:val="stBilgi"/>
        <w:jc w:val="center"/>
        <w:rPr>
          <w:b/>
          <w:bCs/>
        </w:rPr>
      </w:pPr>
      <w:r w:rsidRPr="00F52BDB">
        <w:rPr>
          <w:b/>
          <w:bCs/>
        </w:rPr>
        <w:t>BİRİM ORTAK DERSLER</w:t>
      </w:r>
      <w:r>
        <w:rPr>
          <w:b/>
          <w:bCs/>
        </w:rPr>
        <w:t xml:space="preserve"> KOMİSYONU</w:t>
      </w:r>
    </w:p>
    <w:p w14:paraId="1DEA45B4" w14:textId="0EE47B9E" w:rsidR="009B34DE" w:rsidRPr="00F52BDB" w:rsidRDefault="009B34DE" w:rsidP="009B34DE">
      <w:pPr>
        <w:pStyle w:val="stBilgi"/>
        <w:jc w:val="center"/>
        <w:rPr>
          <w:b/>
          <w:bCs/>
        </w:rPr>
      </w:pPr>
      <w:r w:rsidRPr="00F52BDB">
        <w:rPr>
          <w:b/>
          <w:bCs/>
        </w:rPr>
        <w:t>2025-2026 EĞİTİM ÖĞRETİM YILI GÜZ DÖNEMİ MEMNUNİYET ANKETİ</w:t>
      </w:r>
      <w:r>
        <w:rPr>
          <w:b/>
          <w:bCs/>
        </w:rPr>
        <w:t xml:space="preserve"> SONUÇ RAPORU</w:t>
      </w:r>
    </w:p>
    <w:p w14:paraId="389554F8" w14:textId="77777777" w:rsidR="009B34DE" w:rsidRDefault="009B34DE" w:rsidP="009B34DE">
      <w:pPr>
        <w:pStyle w:val="stBilgi"/>
        <w:rPr>
          <w:b/>
          <w:bCs/>
        </w:rPr>
      </w:pPr>
    </w:p>
    <w:p w14:paraId="3FD75B98" w14:textId="77777777" w:rsidR="009B34DE" w:rsidRDefault="009B34DE" w:rsidP="009B34DE">
      <w:pPr>
        <w:pStyle w:val="stBilgi"/>
        <w:rPr>
          <w:b/>
          <w:bCs/>
        </w:rPr>
      </w:pPr>
    </w:p>
    <w:p w14:paraId="426E752B" w14:textId="77777777" w:rsidR="009B34DE" w:rsidRDefault="009B34DE" w:rsidP="009B34DE">
      <w:pPr>
        <w:pStyle w:val="stBilgi"/>
        <w:rPr>
          <w:b/>
          <w:bCs/>
        </w:rPr>
      </w:pPr>
    </w:p>
    <w:p w14:paraId="6AD4F661" w14:textId="43E1A472" w:rsidR="009B34DE" w:rsidRDefault="009B34DE" w:rsidP="009B34DE">
      <w:pPr>
        <w:pStyle w:val="stBilgi"/>
        <w:rPr>
          <w:b/>
          <w:bCs/>
        </w:rPr>
      </w:pPr>
      <w:r>
        <w:rPr>
          <w:b/>
          <w:bCs/>
        </w:rPr>
        <w:t>Birim Ortak Dersler</w:t>
      </w:r>
    </w:p>
    <w:p w14:paraId="3F80BDF1" w14:textId="6A02070A" w:rsidR="009B34DE" w:rsidRPr="00F52BDB" w:rsidRDefault="009B34DE" w:rsidP="009B34DE">
      <w:pPr>
        <w:pStyle w:val="stBilgi"/>
        <w:numPr>
          <w:ilvl w:val="0"/>
          <w:numId w:val="3"/>
        </w:numPr>
        <w:rPr>
          <w:b/>
          <w:bCs/>
        </w:rPr>
      </w:pPr>
      <w:r w:rsidRPr="00F52BDB">
        <w:rPr>
          <w:b/>
          <w:bCs/>
        </w:rPr>
        <w:t>Atatürk İlkeleri ve İnkılap Tarihi – I</w:t>
      </w:r>
    </w:p>
    <w:p w14:paraId="49039F31" w14:textId="77777777" w:rsidR="009B34DE" w:rsidRPr="00F52BDB" w:rsidRDefault="009B34DE" w:rsidP="009B34DE">
      <w:pPr>
        <w:pStyle w:val="stBilgi"/>
        <w:numPr>
          <w:ilvl w:val="0"/>
          <w:numId w:val="3"/>
        </w:numPr>
        <w:rPr>
          <w:b/>
          <w:bCs/>
        </w:rPr>
      </w:pPr>
      <w:r w:rsidRPr="00F52BDB">
        <w:rPr>
          <w:b/>
          <w:bCs/>
        </w:rPr>
        <w:t>Türk Dili – I</w:t>
      </w:r>
    </w:p>
    <w:p w14:paraId="2AFEF012" w14:textId="77777777" w:rsidR="009B34DE" w:rsidRPr="00F52BDB" w:rsidRDefault="009B34DE" w:rsidP="009B34DE">
      <w:pPr>
        <w:pStyle w:val="stBilgi"/>
        <w:numPr>
          <w:ilvl w:val="0"/>
          <w:numId w:val="3"/>
        </w:numPr>
        <w:rPr>
          <w:b/>
          <w:bCs/>
        </w:rPr>
      </w:pPr>
      <w:r w:rsidRPr="00F52BDB">
        <w:rPr>
          <w:b/>
          <w:bCs/>
        </w:rPr>
        <w:t>Yabancı Dil -I</w:t>
      </w:r>
    </w:p>
    <w:p w14:paraId="2066AC3C" w14:textId="77777777" w:rsidR="009B34DE" w:rsidRDefault="009B34DE" w:rsidP="009B34D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5BEA46FA" w14:textId="3FBF13C8" w:rsidR="009B34DE" w:rsidRPr="009B34DE" w:rsidRDefault="009B34DE" w:rsidP="009B34D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9B34DE">
        <w:rPr>
          <w:rFonts w:ascii="Times New Roman" w:hAnsi="Times New Roman" w:cs="Times New Roman"/>
          <w:b/>
          <w:bCs/>
        </w:rPr>
        <w:t>1. Amaç</w:t>
      </w:r>
    </w:p>
    <w:p w14:paraId="5723E8A1" w14:textId="690AB5BD" w:rsidR="009B34DE" w:rsidRPr="009B34DE" w:rsidRDefault="009B34DE" w:rsidP="009B34DE">
      <w:pPr>
        <w:spacing w:line="360" w:lineRule="auto"/>
        <w:jc w:val="both"/>
        <w:rPr>
          <w:rFonts w:ascii="Times New Roman" w:hAnsi="Times New Roman" w:cs="Times New Roman"/>
        </w:rPr>
      </w:pPr>
      <w:r w:rsidRPr="009B34DE">
        <w:rPr>
          <w:rFonts w:ascii="Times New Roman" w:hAnsi="Times New Roman" w:cs="Times New Roman"/>
        </w:rPr>
        <w:t>Bu rapor, 2025–2026 eğitim-öğretim yılı güz döneminde yürütülen Atatürk İlkeleri ve İnkılap Tarihi I, Türk Dili I ve Yabancı Dil I derslerine yönelik öğrenci memnuniyet düzeyini belirlemek amacıyla uygulanan anket sonuçlarının istatistiksel olarak değerlendirilmesi ve eğitim-öğretim süreçlerinin geliştirilmesine yönelik öneriler sunulması amacıyla hazırlanmıştır.</w:t>
      </w:r>
    </w:p>
    <w:p w14:paraId="17A04434" w14:textId="77777777" w:rsidR="009B34DE" w:rsidRPr="009B34DE" w:rsidRDefault="009B34DE" w:rsidP="009B34D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9B34DE">
        <w:rPr>
          <w:rFonts w:ascii="Times New Roman" w:hAnsi="Times New Roman" w:cs="Times New Roman"/>
          <w:b/>
          <w:bCs/>
        </w:rPr>
        <w:t>2. Yöntem</w:t>
      </w:r>
    </w:p>
    <w:p w14:paraId="6DCFFC75" w14:textId="0025838C" w:rsidR="009B34DE" w:rsidRPr="009B34DE" w:rsidRDefault="009B34DE" w:rsidP="009B34DE">
      <w:pPr>
        <w:spacing w:line="360" w:lineRule="auto"/>
        <w:jc w:val="both"/>
        <w:rPr>
          <w:rFonts w:ascii="Times New Roman" w:hAnsi="Times New Roman" w:cs="Times New Roman"/>
        </w:rPr>
      </w:pPr>
      <w:r w:rsidRPr="009B34DE">
        <w:rPr>
          <w:rFonts w:ascii="Times New Roman" w:hAnsi="Times New Roman" w:cs="Times New Roman"/>
        </w:rPr>
        <w:t>Ankete toplam 87 öğrenci katılmıştır. Ölçme aracı üçlü Likert yapısındadır:</w:t>
      </w:r>
    </w:p>
    <w:p w14:paraId="5F15093E" w14:textId="77777777" w:rsidR="009B34DE" w:rsidRPr="009B34DE" w:rsidRDefault="009B34DE" w:rsidP="009B34DE">
      <w:pPr>
        <w:spacing w:line="360" w:lineRule="auto"/>
        <w:jc w:val="both"/>
        <w:rPr>
          <w:rFonts w:ascii="Times New Roman" w:hAnsi="Times New Roman" w:cs="Times New Roman"/>
        </w:rPr>
      </w:pPr>
      <w:r w:rsidRPr="009B34DE">
        <w:rPr>
          <w:rFonts w:ascii="Times New Roman" w:hAnsi="Times New Roman" w:cs="Times New Roman"/>
        </w:rPr>
        <w:t>1 = Katılmıyorum</w:t>
      </w:r>
    </w:p>
    <w:p w14:paraId="4510695D" w14:textId="77777777" w:rsidR="009B34DE" w:rsidRPr="009B34DE" w:rsidRDefault="009B34DE" w:rsidP="009B34DE">
      <w:pPr>
        <w:spacing w:line="360" w:lineRule="auto"/>
        <w:jc w:val="both"/>
        <w:rPr>
          <w:rFonts w:ascii="Times New Roman" w:hAnsi="Times New Roman" w:cs="Times New Roman"/>
        </w:rPr>
      </w:pPr>
      <w:r w:rsidRPr="009B34DE">
        <w:rPr>
          <w:rFonts w:ascii="Times New Roman" w:hAnsi="Times New Roman" w:cs="Times New Roman"/>
        </w:rPr>
        <w:t>2 = Kararsızım</w:t>
      </w:r>
    </w:p>
    <w:p w14:paraId="21A6E676" w14:textId="77777777" w:rsidR="009B34DE" w:rsidRPr="009B34DE" w:rsidRDefault="009B34DE" w:rsidP="009B34DE">
      <w:pPr>
        <w:spacing w:line="360" w:lineRule="auto"/>
        <w:jc w:val="both"/>
        <w:rPr>
          <w:rFonts w:ascii="Times New Roman" w:hAnsi="Times New Roman" w:cs="Times New Roman"/>
        </w:rPr>
      </w:pPr>
      <w:r w:rsidRPr="009B34DE">
        <w:rPr>
          <w:rFonts w:ascii="Times New Roman" w:hAnsi="Times New Roman" w:cs="Times New Roman"/>
        </w:rPr>
        <w:t>3 = Katılıyorum</w:t>
      </w:r>
    </w:p>
    <w:p w14:paraId="2F3EBEA0" w14:textId="3A345046" w:rsidR="009B34DE" w:rsidRPr="009B34DE" w:rsidRDefault="009B34DE" w:rsidP="009B34DE">
      <w:pPr>
        <w:spacing w:line="360" w:lineRule="auto"/>
        <w:jc w:val="both"/>
        <w:rPr>
          <w:rFonts w:ascii="Times New Roman" w:hAnsi="Times New Roman" w:cs="Times New Roman"/>
        </w:rPr>
      </w:pPr>
      <w:r w:rsidRPr="009B34DE">
        <w:rPr>
          <w:rFonts w:ascii="Times New Roman" w:hAnsi="Times New Roman" w:cs="Times New Roman"/>
        </w:rPr>
        <w:t>Veriler yüzde dağılımlar üzerinden analiz edilmiş, bulgular kalite güvencesi ve öğrenci merkezli eğitim yaklaşımı çerçevesinde yorumlanmıştır.</w:t>
      </w:r>
    </w:p>
    <w:p w14:paraId="1523CC1B" w14:textId="77777777" w:rsidR="009B34DE" w:rsidRPr="009B34DE" w:rsidRDefault="009B34DE" w:rsidP="009B34D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9B34DE">
        <w:rPr>
          <w:rFonts w:ascii="Times New Roman" w:hAnsi="Times New Roman" w:cs="Times New Roman"/>
          <w:b/>
          <w:bCs/>
        </w:rPr>
        <w:t>3. Bulguların Genel Değerlendirmesi</w:t>
      </w:r>
    </w:p>
    <w:p w14:paraId="284C8509" w14:textId="03F8730A" w:rsidR="009B34DE" w:rsidRPr="009B34DE" w:rsidRDefault="009B34DE" w:rsidP="009B34D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9B34DE">
        <w:rPr>
          <w:rFonts w:ascii="Times New Roman" w:hAnsi="Times New Roman" w:cs="Times New Roman"/>
          <w:b/>
          <w:bCs/>
        </w:rPr>
        <w:t>3.1 Ders içeriği ve materyaller</w:t>
      </w:r>
    </w:p>
    <w:p w14:paraId="676FFF15" w14:textId="7922DC25" w:rsidR="009B34DE" w:rsidRPr="009B34DE" w:rsidRDefault="009B34DE" w:rsidP="009B34DE">
      <w:pPr>
        <w:spacing w:line="360" w:lineRule="auto"/>
        <w:jc w:val="both"/>
        <w:rPr>
          <w:rFonts w:ascii="Times New Roman" w:hAnsi="Times New Roman" w:cs="Times New Roman"/>
        </w:rPr>
      </w:pPr>
      <w:r w:rsidRPr="009B34DE">
        <w:rPr>
          <w:rFonts w:ascii="Times New Roman" w:hAnsi="Times New Roman" w:cs="Times New Roman"/>
        </w:rPr>
        <w:t>Ders içeriklerinin yeterliliği (%43,7 katılmıyorum) ve materyal yeterliği (%43,7 katılmıyorum) öğrencilerin önemli bir bölümünde olumsuz algı oluşturmuştur. Olumsuz ve kararsız yanıtların toplamı her iki maddede yaklaşık %75 düzeyindedir. Bu durum içerik yapılandırmasının gözden geçirilmesi gerektiğini göstermektedir.</w:t>
      </w:r>
    </w:p>
    <w:p w14:paraId="7CC024CA" w14:textId="6D61EDD1" w:rsidR="009B34DE" w:rsidRPr="009B34DE" w:rsidRDefault="009B34DE" w:rsidP="009B34D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9B34DE">
        <w:rPr>
          <w:rFonts w:ascii="Times New Roman" w:hAnsi="Times New Roman" w:cs="Times New Roman"/>
          <w:b/>
          <w:bCs/>
        </w:rPr>
        <w:t>3.2 Derslerin yürütülmesi</w:t>
      </w:r>
    </w:p>
    <w:p w14:paraId="0E3C303E" w14:textId="60ED6B0D" w:rsidR="009B34DE" w:rsidRPr="009B34DE" w:rsidRDefault="009B34DE" w:rsidP="009B34DE">
      <w:pPr>
        <w:spacing w:line="360" w:lineRule="auto"/>
        <w:jc w:val="both"/>
        <w:rPr>
          <w:rFonts w:ascii="Times New Roman" w:hAnsi="Times New Roman" w:cs="Times New Roman"/>
        </w:rPr>
      </w:pPr>
      <w:r w:rsidRPr="009B34DE">
        <w:rPr>
          <w:rFonts w:ascii="Times New Roman" w:hAnsi="Times New Roman" w:cs="Times New Roman"/>
        </w:rPr>
        <w:t>Derslerin zamanında işlenmesi konusunda olumlu görüş oranı %46 olup göreli bir memnuniyet görülmektedir. Uzaktan eğitim sistemine erişim konusunda olumlu görüş oranı da %46’dır. Bu iki madde, teknik ve organizasyonel süreçlerin kısmen işlevsel olduğunu göstermektedir.</w:t>
      </w:r>
    </w:p>
    <w:p w14:paraId="148CD061" w14:textId="5AEAF439" w:rsidR="009B34DE" w:rsidRPr="009B34DE" w:rsidRDefault="009B34DE" w:rsidP="009B34DE">
      <w:pPr>
        <w:spacing w:line="360" w:lineRule="auto"/>
        <w:jc w:val="both"/>
        <w:rPr>
          <w:rFonts w:ascii="Times New Roman" w:hAnsi="Times New Roman" w:cs="Times New Roman"/>
        </w:rPr>
      </w:pPr>
      <w:r w:rsidRPr="009B34DE">
        <w:rPr>
          <w:rFonts w:ascii="Times New Roman" w:hAnsi="Times New Roman" w:cs="Times New Roman"/>
        </w:rPr>
        <w:lastRenderedPageBreak/>
        <w:t>Buna karşın derslerin öğrenmeyi desteklemesi maddesinde %44,8 katılmıyorum oranı dikkat çekmektedir. Öğretim yöntemlerinin pedagojik etkililiğinin geliştirilmesi gerektiği anlaşılmaktadır.</w:t>
      </w:r>
    </w:p>
    <w:p w14:paraId="1DA515F6" w14:textId="7A25BB3B" w:rsidR="009B34DE" w:rsidRDefault="009B34DE" w:rsidP="009B34D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9B34DE">
        <w:rPr>
          <w:rFonts w:ascii="Times New Roman" w:hAnsi="Times New Roman" w:cs="Times New Roman"/>
          <w:b/>
          <w:bCs/>
        </w:rPr>
        <w:t>3.3 Ölçme ve değerlendirme</w:t>
      </w:r>
    </w:p>
    <w:p w14:paraId="178D78B2" w14:textId="4527A9AC" w:rsidR="009B34DE" w:rsidRPr="009B34DE" w:rsidRDefault="009B34DE" w:rsidP="009B34D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9B34DE">
        <w:rPr>
          <w:rFonts w:ascii="Times New Roman" w:hAnsi="Times New Roman" w:cs="Times New Roman"/>
        </w:rPr>
        <w:t>Sınav sorularının ders içeriğiyle uyumu konusunda %49,4 katılmıyorum oranı yüksek bir eleştirel algıya işaret etmektedir. Benzer şekilde sınavların adil ölçüm yapıp yapmadığı maddesinde olumsuz ve kararsız görüşlerin toplamı %66,7’dir.</w:t>
      </w:r>
    </w:p>
    <w:p w14:paraId="48510E7E" w14:textId="13EA1421" w:rsidR="009B34DE" w:rsidRPr="009B34DE" w:rsidRDefault="009B34DE" w:rsidP="009B34DE">
      <w:pPr>
        <w:spacing w:line="360" w:lineRule="auto"/>
        <w:jc w:val="both"/>
        <w:rPr>
          <w:rFonts w:ascii="Times New Roman" w:hAnsi="Times New Roman" w:cs="Times New Roman"/>
        </w:rPr>
      </w:pPr>
      <w:r w:rsidRPr="009B34DE">
        <w:rPr>
          <w:rFonts w:ascii="Times New Roman" w:hAnsi="Times New Roman" w:cs="Times New Roman"/>
        </w:rPr>
        <w:t>Buna karşılık sınav tarihlerinin zamanında duyurulması maddesinde %75,9 katılıyorum oranı oldukça yüksek olup organizasyonel süreçlerin güçlü bir yönü olarak değerlendirilmektedir. Sınav sonuçlarının zamanında açıklanması maddesinde ise olumlu görüş oranı %54’tür.</w:t>
      </w:r>
    </w:p>
    <w:p w14:paraId="3B19D4B6" w14:textId="6A1DCA62" w:rsidR="009B34DE" w:rsidRPr="009B34DE" w:rsidRDefault="009B34DE" w:rsidP="009B34D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9B34DE">
        <w:rPr>
          <w:rFonts w:ascii="Times New Roman" w:hAnsi="Times New Roman" w:cs="Times New Roman"/>
          <w:b/>
          <w:bCs/>
        </w:rPr>
        <w:t>3.4 Akademik katkı ve gelişim</w:t>
      </w:r>
    </w:p>
    <w:p w14:paraId="0EFFA426" w14:textId="02A81596" w:rsidR="009B34DE" w:rsidRPr="009B34DE" w:rsidRDefault="009B34DE" w:rsidP="009B34DE">
      <w:pPr>
        <w:spacing w:line="360" w:lineRule="auto"/>
        <w:jc w:val="both"/>
        <w:rPr>
          <w:rFonts w:ascii="Times New Roman" w:hAnsi="Times New Roman" w:cs="Times New Roman"/>
        </w:rPr>
      </w:pPr>
      <w:r w:rsidRPr="009B34DE">
        <w:rPr>
          <w:rFonts w:ascii="Times New Roman" w:hAnsi="Times New Roman" w:cs="Times New Roman"/>
        </w:rPr>
        <w:t>Derslerin mesleki gelişime katkı sağlaması maddesinde olumsuz görüş oranı %43,7’dir. Eleştirel düşünme ve yeni bakış açıları kazandırma maddelerinde görüşler dengeli dağılmıştır; öğrencilerin yaklaşık üçte biri olumlu, üçte biri olumsuz değerlendirme yapmıştır. Bu durum derslerin bilişsel katkısının heterojen algılandığını göstermektedir.</w:t>
      </w:r>
    </w:p>
    <w:p w14:paraId="0C2DFE35" w14:textId="0550DE08" w:rsidR="009B34DE" w:rsidRPr="009B34DE" w:rsidRDefault="009B34DE" w:rsidP="009B34DE">
      <w:pPr>
        <w:spacing w:line="360" w:lineRule="auto"/>
        <w:jc w:val="both"/>
        <w:rPr>
          <w:rFonts w:ascii="Times New Roman" w:hAnsi="Times New Roman" w:cs="Times New Roman"/>
        </w:rPr>
      </w:pPr>
      <w:r w:rsidRPr="009B34DE">
        <w:rPr>
          <w:rFonts w:ascii="Times New Roman" w:hAnsi="Times New Roman" w:cs="Times New Roman"/>
        </w:rPr>
        <w:t>Bilgi ve deneyimin farklı alanlarda kullanılabilirliği maddesinde kararsız oranının %33,3 olması öğrenme transferi konusunda net bir memnuniyet oluşmadığını göstermektedir.</w:t>
      </w:r>
    </w:p>
    <w:p w14:paraId="0B9F8596" w14:textId="0A6297C7" w:rsidR="009B34DE" w:rsidRPr="009B34DE" w:rsidRDefault="009B34DE" w:rsidP="009B34D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9B34DE">
        <w:rPr>
          <w:rFonts w:ascii="Times New Roman" w:hAnsi="Times New Roman" w:cs="Times New Roman"/>
          <w:b/>
          <w:bCs/>
        </w:rPr>
        <w:t>3.5 Öğretim elemanı ve destek hizmetleri</w:t>
      </w:r>
    </w:p>
    <w:p w14:paraId="4F76C902" w14:textId="0365609D" w:rsidR="009B34DE" w:rsidRPr="009B34DE" w:rsidRDefault="009B34DE" w:rsidP="009B34DE">
      <w:pPr>
        <w:spacing w:line="360" w:lineRule="auto"/>
        <w:jc w:val="both"/>
        <w:rPr>
          <w:rFonts w:ascii="Times New Roman" w:hAnsi="Times New Roman" w:cs="Times New Roman"/>
        </w:rPr>
      </w:pPr>
      <w:r w:rsidRPr="009B34DE">
        <w:rPr>
          <w:rFonts w:ascii="Times New Roman" w:hAnsi="Times New Roman" w:cs="Times New Roman"/>
        </w:rPr>
        <w:t>Öğretim elemanlarının sorulara zamanında yanıt vermesi maddesinde olumlu görüş oranı %41,4’tür. Teknik destek yeterliliği maddesinde olumsuz görüş oranı %36,8 olup destek hizmetlerinin güçlendirilmesi gerektiğine işaret etmektedir.</w:t>
      </w:r>
    </w:p>
    <w:p w14:paraId="703C0217" w14:textId="63381B83" w:rsidR="009B34DE" w:rsidRPr="009B34DE" w:rsidRDefault="009B34DE" w:rsidP="009B34DE">
      <w:pPr>
        <w:spacing w:line="360" w:lineRule="auto"/>
        <w:jc w:val="both"/>
        <w:rPr>
          <w:rFonts w:ascii="Times New Roman" w:hAnsi="Times New Roman" w:cs="Times New Roman"/>
        </w:rPr>
      </w:pPr>
      <w:r w:rsidRPr="009B34DE">
        <w:rPr>
          <w:rFonts w:ascii="Times New Roman" w:hAnsi="Times New Roman" w:cs="Times New Roman"/>
        </w:rPr>
        <w:t>Bilgilendirmelerin zamanında yapılması maddesinde olumlu görüş oranı %49,4 olup orta düzey memnuniyet görülmektedir.</w:t>
      </w:r>
    </w:p>
    <w:p w14:paraId="48F5FA6C" w14:textId="7A845787" w:rsidR="009B34DE" w:rsidRPr="009B34DE" w:rsidRDefault="009B34DE" w:rsidP="009B34D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9B34DE">
        <w:rPr>
          <w:rFonts w:ascii="Times New Roman" w:hAnsi="Times New Roman" w:cs="Times New Roman"/>
          <w:b/>
          <w:bCs/>
        </w:rPr>
        <w:t>3.6 Uzaktan eğitim algısı ve genel memnuniyet</w:t>
      </w:r>
    </w:p>
    <w:p w14:paraId="2B8E661F" w14:textId="421EDCFD" w:rsidR="009B34DE" w:rsidRPr="009B34DE" w:rsidRDefault="009B34DE" w:rsidP="009B34DE">
      <w:pPr>
        <w:spacing w:line="360" w:lineRule="auto"/>
        <w:jc w:val="both"/>
        <w:rPr>
          <w:rFonts w:ascii="Times New Roman" w:hAnsi="Times New Roman" w:cs="Times New Roman"/>
        </w:rPr>
      </w:pPr>
      <w:r w:rsidRPr="009B34DE">
        <w:rPr>
          <w:rFonts w:ascii="Times New Roman" w:hAnsi="Times New Roman" w:cs="Times New Roman"/>
        </w:rPr>
        <w:t>Uzaktan eğitim yönteminden memnuniyet maddesinde %47,1 katılmıyorum oranı uzaktan öğretime yönelik belirgin bir memnuniyetsizlik göstermektedir. Derslerin uzaktan tekrar tercih edilmesi maddesinde de %46 katılmıyorum oranı bu bulguyu desteklemektedir.</w:t>
      </w:r>
    </w:p>
    <w:p w14:paraId="73FAF74D" w14:textId="3510B4FF" w:rsidR="009B34DE" w:rsidRDefault="009B34DE" w:rsidP="009B34DE">
      <w:pPr>
        <w:spacing w:line="360" w:lineRule="auto"/>
        <w:jc w:val="both"/>
        <w:rPr>
          <w:rFonts w:ascii="Times New Roman" w:hAnsi="Times New Roman" w:cs="Times New Roman"/>
        </w:rPr>
      </w:pPr>
      <w:r w:rsidRPr="009B34DE">
        <w:rPr>
          <w:rFonts w:ascii="Times New Roman" w:hAnsi="Times New Roman" w:cs="Times New Roman"/>
        </w:rPr>
        <w:t>Genel ders memnuniyeti maddesinde öğrencilerin %42,5’i memnun olmadığını belirtmiştir. Bu oran, program genelinde yapısal iyileştirme gerekliliğini ortaya koymaktadır.</w:t>
      </w:r>
    </w:p>
    <w:p w14:paraId="5BF54F93" w14:textId="77777777" w:rsidR="009B34DE" w:rsidRPr="009B34DE" w:rsidRDefault="009B34DE" w:rsidP="009B34DE">
      <w:pPr>
        <w:spacing w:line="360" w:lineRule="auto"/>
        <w:jc w:val="both"/>
        <w:rPr>
          <w:rFonts w:ascii="Times New Roman" w:hAnsi="Times New Roman" w:cs="Times New Roman"/>
        </w:rPr>
      </w:pPr>
    </w:p>
    <w:p w14:paraId="36375FD2" w14:textId="5CFC615E" w:rsidR="009B34DE" w:rsidRPr="009B34DE" w:rsidRDefault="009B34DE" w:rsidP="009B34D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9B34DE">
        <w:rPr>
          <w:rFonts w:ascii="Times New Roman" w:hAnsi="Times New Roman" w:cs="Times New Roman"/>
          <w:b/>
          <w:bCs/>
        </w:rPr>
        <w:lastRenderedPageBreak/>
        <w:t>4. Sonuç</w:t>
      </w:r>
    </w:p>
    <w:p w14:paraId="60E03113" w14:textId="59303EF8" w:rsidR="009B34DE" w:rsidRPr="009B34DE" w:rsidRDefault="009B34DE" w:rsidP="009B34DE">
      <w:pPr>
        <w:spacing w:line="360" w:lineRule="auto"/>
        <w:jc w:val="both"/>
        <w:rPr>
          <w:rFonts w:ascii="Times New Roman" w:hAnsi="Times New Roman" w:cs="Times New Roman"/>
        </w:rPr>
      </w:pPr>
      <w:r w:rsidRPr="009B34DE">
        <w:rPr>
          <w:rFonts w:ascii="Times New Roman" w:hAnsi="Times New Roman" w:cs="Times New Roman"/>
        </w:rPr>
        <w:t>Anket sonuçları, organizasyonel süreçlerde kısmi başarıya rağmen içerik, pedagojik etkililik ve ölçme-değerlendirme alanlarında belirgin gelişim gereksinimi olduğunu göstermektedir. Uzaktan eğitim uygulamalarına yönelik memnuniyet düşük düzeydedir ve öğrenme çıktılarının algılanan kalitesi heterojen bir dağılım göstermektedir.</w:t>
      </w:r>
    </w:p>
    <w:p w14:paraId="13C78B49" w14:textId="77777777" w:rsidR="009B34DE" w:rsidRPr="009B34DE" w:rsidRDefault="009B34DE" w:rsidP="009B34D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9B34DE">
        <w:rPr>
          <w:rFonts w:ascii="Times New Roman" w:hAnsi="Times New Roman" w:cs="Times New Roman"/>
          <w:b/>
          <w:bCs/>
        </w:rPr>
        <w:t>5. Öneriler</w:t>
      </w:r>
    </w:p>
    <w:p w14:paraId="658AA059" w14:textId="77777777" w:rsidR="009B34DE" w:rsidRPr="009B34DE" w:rsidRDefault="009B34DE" w:rsidP="009B34DE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9B34DE">
        <w:rPr>
          <w:rFonts w:ascii="Times New Roman" w:hAnsi="Times New Roman" w:cs="Times New Roman"/>
        </w:rPr>
        <w:t>Ders içeriklerinin yeniden yapılandırılması ve güncellenmesi</w:t>
      </w:r>
    </w:p>
    <w:p w14:paraId="4D85167F" w14:textId="1236763D" w:rsidR="009B34DE" w:rsidRPr="009B34DE" w:rsidRDefault="009B34DE" w:rsidP="009B34DE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9B34DE">
        <w:rPr>
          <w:rFonts w:ascii="Times New Roman" w:hAnsi="Times New Roman" w:cs="Times New Roman"/>
        </w:rPr>
        <w:t>Uygulama temelli öğretim yöntemlerinin artırılması</w:t>
      </w:r>
    </w:p>
    <w:p w14:paraId="3C984C95" w14:textId="4E62B7F5" w:rsidR="009B34DE" w:rsidRPr="009B34DE" w:rsidRDefault="009B34DE" w:rsidP="009B34DE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9B34DE">
        <w:rPr>
          <w:rFonts w:ascii="Times New Roman" w:hAnsi="Times New Roman" w:cs="Times New Roman"/>
        </w:rPr>
        <w:t>Ölçme-değerlendirme araçlarının içerikle uyumlu hale getirilmesi</w:t>
      </w:r>
    </w:p>
    <w:p w14:paraId="2F175E17" w14:textId="4F925377" w:rsidR="009B34DE" w:rsidRPr="009B34DE" w:rsidRDefault="009B34DE" w:rsidP="009B34DE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9B34DE">
        <w:rPr>
          <w:rFonts w:ascii="Times New Roman" w:hAnsi="Times New Roman" w:cs="Times New Roman"/>
        </w:rPr>
        <w:t>Teknik destek altyapısının güçlendirilmesi</w:t>
      </w:r>
    </w:p>
    <w:p w14:paraId="362F2389" w14:textId="3B98D612" w:rsidR="009B34DE" w:rsidRPr="009B34DE" w:rsidRDefault="009B34DE" w:rsidP="009B34DE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9B34DE">
        <w:rPr>
          <w:rFonts w:ascii="Times New Roman" w:hAnsi="Times New Roman" w:cs="Times New Roman"/>
        </w:rPr>
        <w:t>Uzaktan eğitim tasarımının yeniden değerlendirilmesi</w:t>
      </w:r>
    </w:p>
    <w:p w14:paraId="5FC6075E" w14:textId="71594235" w:rsidR="009B34DE" w:rsidRPr="009B34DE" w:rsidRDefault="009B34DE" w:rsidP="009B34DE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9B34DE">
        <w:rPr>
          <w:rFonts w:ascii="Times New Roman" w:hAnsi="Times New Roman" w:cs="Times New Roman"/>
        </w:rPr>
        <w:t>Sürekli geri bildirim mekanizmasının kurulması</w:t>
      </w:r>
    </w:p>
    <w:p w14:paraId="57F167D6" w14:textId="4B158ED8" w:rsidR="004B1031" w:rsidRDefault="009B34DE" w:rsidP="009B34DE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9B34DE">
        <w:rPr>
          <w:rFonts w:ascii="Times New Roman" w:hAnsi="Times New Roman" w:cs="Times New Roman"/>
        </w:rPr>
        <w:t>Öğrenci merkezli öğrenme stratejilerinin yaygınlaştırılması</w:t>
      </w:r>
    </w:p>
    <w:p w14:paraId="4C49D477" w14:textId="77777777" w:rsidR="009B34DE" w:rsidRDefault="009B34DE" w:rsidP="009B34DE">
      <w:pPr>
        <w:spacing w:line="360" w:lineRule="auto"/>
        <w:jc w:val="both"/>
        <w:rPr>
          <w:rFonts w:ascii="Times New Roman" w:hAnsi="Times New Roman" w:cs="Times New Roman"/>
        </w:rPr>
      </w:pPr>
    </w:p>
    <w:p w14:paraId="48478DAC" w14:textId="77777777" w:rsidR="009B34DE" w:rsidRDefault="009B34DE" w:rsidP="009B34DE">
      <w:pPr>
        <w:spacing w:line="360" w:lineRule="auto"/>
        <w:jc w:val="both"/>
        <w:rPr>
          <w:rFonts w:ascii="Times New Roman" w:hAnsi="Times New Roman" w:cs="Times New Roman"/>
        </w:rPr>
      </w:pPr>
    </w:p>
    <w:p w14:paraId="7D3313C6" w14:textId="77777777" w:rsidR="009B34DE" w:rsidRDefault="009B34DE" w:rsidP="009B34DE">
      <w:pPr>
        <w:spacing w:line="360" w:lineRule="auto"/>
        <w:jc w:val="both"/>
        <w:rPr>
          <w:rFonts w:ascii="Times New Roman" w:hAnsi="Times New Roman" w:cs="Times New Roman"/>
        </w:rPr>
      </w:pPr>
    </w:p>
    <w:p w14:paraId="7D89191D" w14:textId="77777777" w:rsidR="009B34DE" w:rsidRDefault="009B34DE" w:rsidP="009B34DE">
      <w:pPr>
        <w:spacing w:line="360" w:lineRule="auto"/>
        <w:jc w:val="both"/>
        <w:rPr>
          <w:rFonts w:ascii="Times New Roman" w:hAnsi="Times New Roman" w:cs="Times New Roman"/>
        </w:rPr>
      </w:pPr>
    </w:p>
    <w:p w14:paraId="71A5A895" w14:textId="77777777" w:rsidR="009B34DE" w:rsidRDefault="009B34DE" w:rsidP="009B34DE">
      <w:pPr>
        <w:spacing w:line="360" w:lineRule="auto"/>
        <w:jc w:val="both"/>
        <w:rPr>
          <w:rFonts w:ascii="Times New Roman" w:hAnsi="Times New Roman" w:cs="Times New Roman"/>
        </w:rPr>
      </w:pPr>
    </w:p>
    <w:p w14:paraId="11ABC6CE" w14:textId="77777777" w:rsidR="009B34DE" w:rsidRDefault="009B34DE" w:rsidP="009B34DE">
      <w:pPr>
        <w:spacing w:line="360" w:lineRule="auto"/>
        <w:jc w:val="both"/>
        <w:rPr>
          <w:rFonts w:ascii="Times New Roman" w:hAnsi="Times New Roman" w:cs="Times New Roman"/>
        </w:rPr>
      </w:pPr>
    </w:p>
    <w:p w14:paraId="5C8E4FC4" w14:textId="77777777" w:rsidR="009B34DE" w:rsidRDefault="009B34DE" w:rsidP="009B34DE">
      <w:pPr>
        <w:spacing w:line="360" w:lineRule="auto"/>
        <w:jc w:val="both"/>
        <w:rPr>
          <w:rFonts w:ascii="Times New Roman" w:hAnsi="Times New Roman" w:cs="Times New Roman"/>
        </w:rPr>
      </w:pPr>
    </w:p>
    <w:p w14:paraId="6FC9BB8A" w14:textId="77777777" w:rsidR="009B34DE" w:rsidRDefault="009B34DE" w:rsidP="009B34DE">
      <w:pPr>
        <w:spacing w:line="360" w:lineRule="auto"/>
        <w:jc w:val="both"/>
        <w:rPr>
          <w:rFonts w:ascii="Times New Roman" w:hAnsi="Times New Roman" w:cs="Times New Roman"/>
        </w:rPr>
      </w:pPr>
    </w:p>
    <w:p w14:paraId="2BF967E4" w14:textId="77777777" w:rsidR="009B34DE" w:rsidRDefault="009B34DE" w:rsidP="009B34DE">
      <w:pPr>
        <w:spacing w:line="360" w:lineRule="auto"/>
        <w:jc w:val="both"/>
        <w:rPr>
          <w:rFonts w:ascii="Times New Roman" w:hAnsi="Times New Roman" w:cs="Times New Roman"/>
        </w:rPr>
      </w:pPr>
    </w:p>
    <w:p w14:paraId="768A6679" w14:textId="77777777" w:rsidR="009B34DE" w:rsidRDefault="009B34DE" w:rsidP="009B34DE">
      <w:pPr>
        <w:spacing w:line="360" w:lineRule="auto"/>
        <w:jc w:val="both"/>
        <w:rPr>
          <w:rFonts w:ascii="Times New Roman" w:hAnsi="Times New Roman" w:cs="Times New Roman"/>
        </w:rPr>
      </w:pPr>
    </w:p>
    <w:p w14:paraId="6ADCEF4D" w14:textId="77777777" w:rsidR="009B34DE" w:rsidRDefault="009B34DE" w:rsidP="009B34DE">
      <w:pPr>
        <w:spacing w:line="360" w:lineRule="auto"/>
        <w:jc w:val="both"/>
        <w:rPr>
          <w:rFonts w:ascii="Times New Roman" w:hAnsi="Times New Roman" w:cs="Times New Roman"/>
        </w:rPr>
      </w:pPr>
    </w:p>
    <w:p w14:paraId="6B6484AD" w14:textId="77777777" w:rsidR="009B34DE" w:rsidRDefault="009B34DE" w:rsidP="009B34DE">
      <w:pPr>
        <w:spacing w:line="360" w:lineRule="auto"/>
        <w:jc w:val="both"/>
        <w:rPr>
          <w:rFonts w:ascii="Times New Roman" w:hAnsi="Times New Roman" w:cs="Times New Roman"/>
        </w:rPr>
      </w:pPr>
    </w:p>
    <w:p w14:paraId="423F275D" w14:textId="77777777" w:rsidR="009B34DE" w:rsidRDefault="009B34DE" w:rsidP="009B34DE">
      <w:pPr>
        <w:spacing w:line="360" w:lineRule="auto"/>
        <w:jc w:val="both"/>
        <w:rPr>
          <w:rFonts w:ascii="Times New Roman" w:hAnsi="Times New Roman" w:cs="Times New Roman"/>
        </w:rPr>
      </w:pPr>
    </w:p>
    <w:p w14:paraId="2B278383" w14:textId="77777777" w:rsidR="009B34DE" w:rsidRDefault="009B34DE" w:rsidP="009B34DE">
      <w:pPr>
        <w:spacing w:line="360" w:lineRule="auto"/>
        <w:jc w:val="both"/>
        <w:rPr>
          <w:rFonts w:ascii="Times New Roman" w:hAnsi="Times New Roman" w:cs="Times New Roman"/>
        </w:rPr>
      </w:pPr>
    </w:p>
    <w:p w14:paraId="4309DF4C" w14:textId="77777777" w:rsidR="009B34DE" w:rsidRPr="009B34DE" w:rsidRDefault="009B34DE" w:rsidP="009B34DE">
      <w:pPr>
        <w:spacing w:line="360" w:lineRule="auto"/>
        <w:jc w:val="both"/>
        <w:rPr>
          <w:rFonts w:ascii="Times New Roman" w:hAnsi="Times New Roman" w:cs="Times New Roman"/>
        </w:rPr>
      </w:pPr>
    </w:p>
    <w:sectPr w:rsidR="009B34DE" w:rsidRPr="009B34DE" w:rsidSect="009B34DE">
      <w:pgSz w:w="11906" w:h="16838" w:code="9"/>
      <w:pgMar w:top="1474" w:right="1134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45929"/>
    <w:multiLevelType w:val="hybridMultilevel"/>
    <w:tmpl w:val="80E088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700D94"/>
    <w:multiLevelType w:val="hybridMultilevel"/>
    <w:tmpl w:val="1442AB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905F54"/>
    <w:multiLevelType w:val="multilevel"/>
    <w:tmpl w:val="E732E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7878656">
    <w:abstractNumId w:val="2"/>
  </w:num>
  <w:num w:numId="2" w16cid:durableId="1098794897">
    <w:abstractNumId w:val="0"/>
  </w:num>
  <w:num w:numId="3" w16cid:durableId="977150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57A"/>
    <w:rsid w:val="0028457A"/>
    <w:rsid w:val="004B1031"/>
    <w:rsid w:val="009B34DE"/>
    <w:rsid w:val="00BF6F92"/>
    <w:rsid w:val="00D001F3"/>
    <w:rsid w:val="00EC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5CB50"/>
  <w15:chartTrackingRefBased/>
  <w15:docId w15:val="{CF5B6E7C-1741-4CB5-8C2C-3DFDC6318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845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845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845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845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845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845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845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845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845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845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845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845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8457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8457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8457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8457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8457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8457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845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845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845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845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845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8457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8457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8457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845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8457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8457A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9B3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B34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504</Words>
  <Characters>3887</Characters>
  <Application>Microsoft Office Word</Application>
  <DocSecurity>0</DocSecurity>
  <Lines>102</Lines>
  <Paragraphs>43</Paragraphs>
  <ScaleCrop>false</ScaleCrop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USTA</dc:creator>
  <cp:keywords/>
  <dc:description/>
  <cp:lastModifiedBy>Abdullah USTA</cp:lastModifiedBy>
  <cp:revision>2</cp:revision>
  <dcterms:created xsi:type="dcterms:W3CDTF">2026-02-13T09:14:00Z</dcterms:created>
  <dcterms:modified xsi:type="dcterms:W3CDTF">2026-02-13T09:20:00Z</dcterms:modified>
</cp:coreProperties>
</file>